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87" w:rsidRDefault="00501B87" w:rsidP="00501B87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San Francisco State University                                                   Michael Bar</w:t>
      </w:r>
    </w:p>
    <w:p w:rsidR="00501B87" w:rsidRDefault="00501B87" w:rsidP="00501B87">
      <w:pPr>
        <w:pStyle w:val="Caption"/>
      </w:pPr>
    </w:p>
    <w:p w:rsidR="000975D9" w:rsidRDefault="006E26B8" w:rsidP="000975D9">
      <w:pPr>
        <w:pStyle w:val="Caption"/>
      </w:pPr>
      <w:r>
        <w:t xml:space="preserve">Typing </w:t>
      </w:r>
      <w:r w:rsidR="00DA54ED">
        <w:t>Math</w:t>
      </w:r>
      <w:r>
        <w:t xml:space="preserve"> in Microsoft Word</w:t>
      </w:r>
    </w:p>
    <w:p w:rsidR="000975D9" w:rsidRDefault="000975D9" w:rsidP="000975D9"/>
    <w:p w:rsidR="009728DE" w:rsidRPr="00700F06" w:rsidRDefault="009728DE" w:rsidP="00700F06">
      <w:pPr>
        <w:pStyle w:val="ListParagraph"/>
        <w:numPr>
          <w:ilvl w:val="0"/>
          <w:numId w:val="9"/>
        </w:numPr>
        <w:rPr>
          <w:b/>
        </w:rPr>
      </w:pPr>
      <w:r w:rsidRPr="00700F06">
        <w:rPr>
          <w:b/>
        </w:rPr>
        <w:t>Opening the Equation Editor</w:t>
      </w:r>
    </w:p>
    <w:p w:rsidR="00CD2CF0" w:rsidRPr="00CD2CF0" w:rsidRDefault="0048270B" w:rsidP="00D257AA">
      <w:pPr>
        <w:rPr>
          <w:color w:val="000000" w:themeColor="text1"/>
        </w:rPr>
      </w:pPr>
      <w:r>
        <w:rPr>
          <w:rStyle w:val="Emphasis"/>
          <w:i w:val="0"/>
        </w:rPr>
        <w:t xml:space="preserve">To access the equation editor, either choose the “Insert” tab on the main menu, and click on the </w:t>
      </w:r>
      <w:r w:rsidRPr="00E12607">
        <w:rPr>
          <w:rFonts w:ascii="Perpetua" w:hAnsi="Perpetua"/>
          <w:color w:val="2E74B5" w:themeColor="accent1" w:themeShade="BF"/>
          <w:sz w:val="48"/>
          <w:szCs w:val="48"/>
        </w:rPr>
        <w:t>π</w:t>
      </w:r>
      <w:r w:rsidRPr="00E12607">
        <w:rPr>
          <w:color w:val="000000" w:themeColor="text1"/>
        </w:rPr>
        <w:t xml:space="preserve"> symbol</w:t>
      </w:r>
      <w:r>
        <w:rPr>
          <w:color w:val="000000" w:themeColor="text1"/>
        </w:rPr>
        <w:t>, or press “Alt=”, and an equation editor object will open.</w:t>
      </w:r>
    </w:p>
    <w:p w:rsidR="00CD2CF0" w:rsidRDefault="00CD2CF0" w:rsidP="0048270B">
      <w:pPr>
        <w:rPr>
          <w:color w:val="000000" w:themeColor="text1"/>
        </w:rPr>
      </w:pPr>
    </w:p>
    <w:p w:rsidR="0048270B" w:rsidRPr="00700F06" w:rsidRDefault="0048270B" w:rsidP="00700F06">
      <w:pPr>
        <w:pStyle w:val="ListParagraph"/>
        <w:numPr>
          <w:ilvl w:val="0"/>
          <w:numId w:val="9"/>
        </w:numPr>
        <w:rPr>
          <w:b/>
        </w:rPr>
      </w:pPr>
      <w:r w:rsidRPr="00700F06">
        <w:rPr>
          <w:b/>
        </w:rPr>
        <w:t>Typing equations.</w:t>
      </w:r>
    </w:p>
    <w:tbl>
      <w:tblPr>
        <w:tblStyle w:val="TableGrid"/>
        <w:tblpPr w:leftFromText="180" w:rightFromText="180" w:vertAnchor="text" w:horzAnchor="page" w:tblpX="780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</w:tblGrid>
      <w:tr w:rsidR="004C289E" w:rsidTr="005163E1">
        <w:tc>
          <w:tcPr>
            <w:tcW w:w="0" w:type="auto"/>
          </w:tcPr>
          <w:p w:rsidR="004C289E" w:rsidRDefault="004C289E" w:rsidP="005163E1">
            <w:r w:rsidRPr="005A7DC5">
              <w:rPr>
                <w:noProof/>
                <w:vertAlign w:val="superscript"/>
              </w:rPr>
              <w:drawing>
                <wp:inline distT="0" distB="0" distL="0" distR="0" wp14:anchorId="383E239E" wp14:editId="42E9437C">
                  <wp:extent cx="1421075" cy="334371"/>
                  <wp:effectExtent l="0" t="0" r="825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43" cy="34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9E" w:rsidRDefault="004C5C12" w:rsidP="00AD7E0C">
      <w:r>
        <w:t>Once you pressed the “Alt=”, an equation window will appear:</w:t>
      </w:r>
    </w:p>
    <w:p w:rsidR="006926D9" w:rsidRDefault="006926D9" w:rsidP="00AD7E0C"/>
    <w:p w:rsidR="006926D9" w:rsidRDefault="006926D9" w:rsidP="00AD7E0C">
      <w:r>
        <w:t>At the top of the page, you will see the Equation Tools templates:</w:t>
      </w:r>
    </w:p>
    <w:p w:rsidR="00AD7E0C" w:rsidRDefault="006926D9" w:rsidP="00AD7E0C">
      <w:r>
        <w:rPr>
          <w:noProof/>
        </w:rPr>
        <w:drawing>
          <wp:inline distT="0" distB="0" distL="0" distR="0" wp14:anchorId="3B39E82C" wp14:editId="2C0126CD">
            <wp:extent cx="5943600" cy="73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63" w:rsidRDefault="006926D9" w:rsidP="00AD7E0C">
      <w:r>
        <w:t xml:space="preserve">You can use the mouse to choose the symbols and structures. </w:t>
      </w:r>
      <w:r w:rsidR="00467CB9">
        <w:t>For example, regular fraction template</w:t>
      </w:r>
      <w:r w:rsidR="00000963">
        <w:t xml:space="preserve">, </w:t>
      </w:r>
      <w:r w:rsidR="00467CB9">
        <w:t>power</w:t>
      </w:r>
      <w:r w:rsidR="00000963">
        <w:t>,</w:t>
      </w:r>
      <w:r w:rsidR="00467CB9">
        <w:t xml:space="preserve"> integral,</w:t>
      </w:r>
      <w:r w:rsidR="00000963">
        <w:t xml:space="preserve"> </w:t>
      </w:r>
      <w:r w:rsidR="00467CB9">
        <w:t>summation, etc.</w:t>
      </w:r>
      <w:r w:rsidR="00000963">
        <w:t>, as shown below:</w:t>
      </w:r>
      <w:r w:rsidR="00467CB9">
        <w:t xml:space="preserve"> </w:t>
      </w:r>
    </w:p>
    <w:p w:rsidR="00000963" w:rsidRDefault="005D2887" w:rsidP="00000963">
      <w:pPr>
        <w:jc w:val="center"/>
      </w:pPr>
      <w:r>
        <w:rPr>
          <w:noProof/>
        </w:rPr>
        <w:drawing>
          <wp:inline distT="0" distB="0" distL="0" distR="0" wp14:anchorId="0C7D85F0" wp14:editId="4687F020">
            <wp:extent cx="2299647" cy="681872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720" cy="6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5B" w:rsidRDefault="00467CB9" w:rsidP="009D5644">
      <w:r>
        <w:t xml:space="preserve">You can move within the template using the arrow keys. </w:t>
      </w:r>
    </w:p>
    <w:p w:rsidR="009D5644" w:rsidRDefault="009D5644" w:rsidP="009D5644"/>
    <w:p w:rsidR="00D257AA" w:rsidRDefault="00D257AA" w:rsidP="00D257AA">
      <w:pPr>
        <w:rPr>
          <w:color w:val="000000" w:themeColor="text1"/>
        </w:rPr>
      </w:pPr>
      <w:r>
        <w:rPr>
          <w:color w:val="000000" w:themeColor="text1"/>
        </w:rPr>
        <w:t>All m</w:t>
      </w:r>
      <w:r>
        <w:rPr>
          <w:color w:val="000000" w:themeColor="text1"/>
        </w:rPr>
        <w:t>ajor equations should start on a separate line, and are called “display” equations, for example</w:t>
      </w:r>
    </w:p>
    <w:p w:rsidR="00D257AA" w:rsidRPr="00CD2CF0" w:rsidRDefault="00D257AA" w:rsidP="00D257AA">
      <w:pPr>
        <w:rPr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acc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</m:sSub>
            </m:e>
          </m:nary>
        </m:oMath>
      </m:oMathPara>
    </w:p>
    <w:p w:rsidR="00D257AA" w:rsidRPr="00CD2CF0" w:rsidRDefault="00D257AA" w:rsidP="00D257AA">
      <w:pPr>
        <w:rPr>
          <w:color w:val="000000" w:themeColor="text1"/>
        </w:rPr>
      </w:pPr>
      <w:r>
        <w:rPr>
          <w:color w:val="000000" w:themeColor="text1"/>
        </w:rPr>
        <w:t xml:space="preserve">If you type the same equation in the middle of a text, it will appear like this: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acc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i=1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</m:e>
        </m:nary>
      </m:oMath>
      <w:r>
        <w:rPr>
          <w:color w:val="000000" w:themeColor="text1"/>
        </w:rPr>
        <w:t xml:space="preserve">, i.e. squished, to reduce vertical space. Such math objects are called “in-line” objects. Only small objects should be inline, e.g. </w:t>
      </w:r>
      <m:oMath>
        <m:r>
          <w:rPr>
            <w:rFonts w:ascii="Cambria Math" w:hAnsi="Cambria Math"/>
            <w:color w:val="000000" w:themeColor="text1"/>
          </w:rPr>
          <m:t>θ=0.35</m:t>
        </m:r>
      </m:oMath>
      <w:r>
        <w:rPr>
          <w:color w:val="000000" w:themeColor="text1"/>
        </w:rPr>
        <w:t>, while the major math objects should be displayed. In your homework assignments, all the math should be displayed.</w:t>
      </w:r>
    </w:p>
    <w:p w:rsidR="00D257AA" w:rsidRDefault="00D257AA" w:rsidP="009D5644"/>
    <w:p w:rsidR="0048270B" w:rsidRPr="00700F06" w:rsidRDefault="0048270B" w:rsidP="00700F06">
      <w:pPr>
        <w:pStyle w:val="ListParagraph"/>
        <w:numPr>
          <w:ilvl w:val="0"/>
          <w:numId w:val="9"/>
        </w:numPr>
        <w:rPr>
          <w:b/>
        </w:rPr>
      </w:pPr>
      <w:r w:rsidRPr="00700F06">
        <w:rPr>
          <w:b/>
        </w:rPr>
        <w:t>Useful Shortcuts</w:t>
      </w:r>
    </w:p>
    <w:p w:rsidR="009B076F" w:rsidRDefault="00467CB9" w:rsidP="0048270B">
      <w:r>
        <w:t>The true power of the new equation editor is that it allows typing a huge variety of mathematical objects and symbols using shortcut codes.</w:t>
      </w:r>
    </w:p>
    <w:p w:rsidR="00467CB9" w:rsidRDefault="00467CB9" w:rsidP="0048270B"/>
    <w:p w:rsidR="00467CB9" w:rsidRDefault="00EC5DA2" w:rsidP="00467CB9">
      <w:pPr>
        <w:pStyle w:val="ListParagraph"/>
        <w:numPr>
          <w:ilvl w:val="0"/>
          <w:numId w:val="7"/>
        </w:numPr>
      </w:pPr>
      <w:r>
        <w:t xml:space="preserve">Greek letters and mathematical symbols can be typed using the backslash “\” key followed by space key. Let [SP] denote the space key. For example, “\alpha[SP]” gives </w:t>
      </w:r>
      <m:oMath>
        <m:r>
          <w:rPr>
            <w:rFonts w:ascii="Cambria Math" w:hAnsi="Cambria Math"/>
          </w:rPr>
          <m:t>α</m:t>
        </m:r>
      </m:oMath>
      <w:r>
        <w:t xml:space="preserve">, “\infty[SP]” gives </w:t>
      </w:r>
      <m:oMath>
        <m:r>
          <w:rPr>
            <w:rFonts w:ascii="Cambria Math" w:hAnsi="Cambria Math"/>
          </w:rPr>
          <m:t>∞</m:t>
        </m:r>
      </m:oMath>
      <w:r>
        <w:t xml:space="preserve">, “\sqrt[SP]x[SP]” gives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, </w:t>
      </w:r>
      <w:r w:rsidR="00D74521">
        <w:t xml:space="preserve">“\bar” add bar on top of the variable, “\hat” adds hat on top of the variable, </w:t>
      </w:r>
      <w:r>
        <w:t>etc. In order to use these code names efficiently, one needs to know the Greek alphabet, and the meaning of</w:t>
      </w:r>
      <w:r w:rsidR="00D257AA">
        <w:t xml:space="preserve"> various mathematical symbols.</w:t>
      </w:r>
    </w:p>
    <w:p w:rsidR="00467CB9" w:rsidRDefault="00467CB9" w:rsidP="00467CB9">
      <w:pPr>
        <w:pStyle w:val="ListParagraph"/>
        <w:numPr>
          <w:ilvl w:val="0"/>
          <w:numId w:val="7"/>
        </w:numPr>
      </w:pPr>
      <w:r>
        <w:lastRenderedPageBreak/>
        <w:t xml:space="preserve">Subscripts and </w:t>
      </w:r>
      <w:r w:rsidR="00EC5DA2">
        <w:t>superscripts are obtained using the underscore “_” key and the</w:t>
      </w:r>
      <w:r w:rsidR="003B0367">
        <w:t xml:space="preserve"> caret “^” key. For example, “x^2[SP]” gives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B0367">
        <w:t xml:space="preserve">, “A_(t+1)[SP]” gives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 w:rsidR="003B0367">
        <w:t xml:space="preserve">, “K_(t+1)^\theta[SP][SP]” gives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t+1</m:t>
            </m:r>
          </m:sub>
          <m:sup>
            <m:r>
              <w:rPr>
                <w:rFonts w:ascii="Cambria Math" w:hAnsi="Cambria Math"/>
              </w:rPr>
              <m:t>θ</m:t>
            </m:r>
          </m:sup>
        </m:sSubSup>
      </m:oMath>
      <w:r w:rsidR="000A6222">
        <w:t xml:space="preserve"> and “\int_a^b[SP]” gives </w:t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A6222">
        <w:t>.</w:t>
      </w:r>
    </w:p>
    <w:p w:rsidR="003B0367" w:rsidRDefault="003B0367" w:rsidP="000A6222">
      <w:pPr>
        <w:pStyle w:val="ListParagraph"/>
        <w:numPr>
          <w:ilvl w:val="0"/>
          <w:numId w:val="7"/>
        </w:numPr>
      </w:pPr>
      <w:r>
        <w:t xml:space="preserve">Fractions can be typed with the forward slash. For example “3/4[SP]”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and “(a+b)/(c+d)[SP]”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c+d</m:t>
            </m:r>
          </m:den>
        </m:f>
      </m:oMath>
      <w:r>
        <w:t>.</w:t>
      </w:r>
    </w:p>
    <w:p w:rsidR="003414B0" w:rsidRDefault="003414B0" w:rsidP="000A6222">
      <w:r>
        <w:t xml:space="preserve">Notice that when </w:t>
      </w:r>
      <w:r w:rsidR="005D2887">
        <w:t xml:space="preserve">you point </w:t>
      </w:r>
      <w:r>
        <w:t xml:space="preserve">with the mouse </w:t>
      </w:r>
      <w:r w:rsidR="005D2887">
        <w:t>to</w:t>
      </w:r>
      <w:r>
        <w:t xml:space="preserve"> any symbol, the name of the symbol and its shortcut </w:t>
      </w:r>
      <w:r w:rsidR="00BD0A12">
        <w:t>code shows up</w:t>
      </w:r>
      <w:r w:rsidR="00BB2238">
        <w:t>, for example</w:t>
      </w:r>
      <w:r w:rsidR="00BD0A12">
        <w:t>:</w:t>
      </w:r>
    </w:p>
    <w:p w:rsidR="003414B0" w:rsidRDefault="00BD0A12" w:rsidP="00BB2238">
      <w:pPr>
        <w:jc w:val="center"/>
      </w:pPr>
      <w:r>
        <w:rPr>
          <w:noProof/>
        </w:rPr>
        <w:drawing>
          <wp:inline distT="0" distB="0" distL="0" distR="0" wp14:anchorId="488050A4" wp14:editId="7DA277F2">
            <wp:extent cx="2207826" cy="1255594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7603" cy="12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12" w:rsidRDefault="00BD0A12" w:rsidP="000A6222">
      <w:r>
        <w:t>This is one way to learn some of the shortcuts in the new Equation Tools.</w:t>
      </w:r>
    </w:p>
    <w:p w:rsidR="0048270B" w:rsidRDefault="004C5C12" w:rsidP="00DE0C01">
      <w:r w:rsidRPr="004C5C12">
        <w:t xml:space="preserve">Comprehensive </w:t>
      </w:r>
      <w:r w:rsidR="00BD0A12">
        <w:t xml:space="preserve">list </w:t>
      </w:r>
      <w:r w:rsidR="000A6222">
        <w:t>with many</w:t>
      </w:r>
      <w:r>
        <w:t xml:space="preserve"> shortcuts used in the new equation editor are</w:t>
      </w:r>
      <w:r w:rsidR="000A6222">
        <w:t xml:space="preserve"> available at:</w:t>
      </w:r>
    </w:p>
    <w:p w:rsidR="004C5C12" w:rsidRDefault="00083257" w:rsidP="00DE0C01">
      <w:pPr>
        <w:rPr>
          <w:rStyle w:val="Hyperlink"/>
        </w:rPr>
      </w:pPr>
      <w:hyperlink r:id="rId11" w:history="1">
        <w:r w:rsidR="004C5C12" w:rsidRPr="00C232E1">
          <w:rPr>
            <w:rStyle w:val="Hyperlink"/>
          </w:rPr>
          <w:t>http://www.iun.edu/~mathiho/useful/Equation%20Editor%20Shortcut%20Commands.pdf</w:t>
        </w:r>
      </w:hyperlink>
    </w:p>
    <w:p w:rsidR="00B47418" w:rsidRDefault="00B47418" w:rsidP="00DE0C01"/>
    <w:p w:rsidR="00B47418" w:rsidRDefault="000A6222" w:rsidP="00DE0C01">
      <w:r w:rsidRPr="000A6222">
        <w:t>and</w:t>
      </w:r>
    </w:p>
    <w:p w:rsidR="00B47418" w:rsidRDefault="00B47418" w:rsidP="00DE0C01"/>
    <w:p w:rsidR="004C5C12" w:rsidRDefault="00083257" w:rsidP="00DE0C01">
      <w:hyperlink r:id="rId12" w:history="1">
        <w:r w:rsidR="004C5C12" w:rsidRPr="00C232E1">
          <w:rPr>
            <w:rStyle w:val="Hyperlink"/>
          </w:rPr>
          <w:t>http://www.chem.mtu.edu/~tbco/cm416/EquationEditor_main.pdf</w:t>
        </w:r>
      </w:hyperlink>
      <w:r w:rsidR="000A6222" w:rsidRPr="000A6222">
        <w:t>.</w:t>
      </w:r>
    </w:p>
    <w:p w:rsidR="004C5C12" w:rsidRDefault="004C5C12" w:rsidP="00DE0C01"/>
    <w:p w:rsidR="00467CB9" w:rsidRPr="00700F06" w:rsidRDefault="00467CB9" w:rsidP="00700F06">
      <w:pPr>
        <w:pStyle w:val="ListParagraph"/>
        <w:numPr>
          <w:ilvl w:val="0"/>
          <w:numId w:val="7"/>
        </w:numPr>
        <w:rPr>
          <w:b/>
        </w:rPr>
      </w:pPr>
      <w:r w:rsidRPr="00700F06">
        <w:rPr>
          <w:b/>
        </w:rPr>
        <w:t>Breaking long equation</w:t>
      </w:r>
      <w:r w:rsidR="00B47418" w:rsidRPr="00700F06">
        <w:rPr>
          <w:b/>
        </w:rPr>
        <w:t>s</w:t>
      </w:r>
      <w:r w:rsidRPr="00700F06">
        <w:rPr>
          <w:b/>
        </w:rPr>
        <w:t xml:space="preserve"> into parts</w:t>
      </w:r>
    </w:p>
    <w:p w:rsidR="000A6222" w:rsidRDefault="000A6222" w:rsidP="00DE0C01">
      <w:pPr>
        <w:rPr>
          <w:b/>
        </w:rPr>
      </w:pPr>
    </w:p>
    <w:p w:rsidR="000A6222" w:rsidRDefault="000A6222" w:rsidP="00DE0C01">
      <w:r w:rsidRPr="000A6222">
        <w:t xml:space="preserve">Suppose that </w:t>
      </w:r>
      <w:r>
        <w:t>you have a long equation, or several mathematical steps of solving a problem, for example:</w:t>
      </w:r>
    </w:p>
    <w:p w:rsidR="00467CB9" w:rsidRPr="006D39A7" w:rsidRDefault="000A6222" w:rsidP="00DE0C01">
      <w:pPr>
        <w:rPr>
          <w:bCs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1-0.5x</m:t>
                  </m:r>
                </m:e>
              </m:d>
              <m:r>
                <w:rPr>
                  <w:rFonts w:ascii="Cambria Math" w:hAnsi="Cambria Math"/>
                </w:rPr>
                <m:t>dx=</m:t>
              </m:r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</w:rPr>
                    <m:t>xdx-0.5</m:t>
                  </m:r>
                  <m:nary>
                    <m:naryPr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dx=</m:t>
                      </m:r>
                    </m:e>
                  </m:nary>
                </m:e>
              </m:nary>
            </m:e>
          </m:nary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-0.5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=2-0.5∙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D39A7" w:rsidRDefault="006D39A7" w:rsidP="00DE0C01">
      <w:pPr>
        <w:rPr>
          <w:bCs/>
        </w:rPr>
      </w:pPr>
      <w:r>
        <w:rPr>
          <w:bCs/>
        </w:rPr>
        <w:t>The above can be written as:</w:t>
      </w:r>
    </w:p>
    <w:p w:rsidR="006D39A7" w:rsidRPr="006D39A7" w:rsidRDefault="006D39A7" w:rsidP="00DE0C01"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1-0.5x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  <m:r>
                <m:rPr>
                  <m:brk m:alnAt="1"/>
                </m:rPr>
                <w:rPr>
                  <w:rFonts w:ascii="Cambria Math" w:hAnsi="Cambria Math"/>
                </w:rPr>
                <m:t>=</m:t>
              </m:r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</w:rPr>
                    <m:t>xdx-0.5</m:t>
                  </m:r>
                  <m:nary>
                    <m:naryPr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dx</m:t>
                      </m:r>
                      <m:r>
                        <m:rPr>
                          <m:brk m:alnAt="1"/>
                          <m:aln/>
                        </m:rPr>
                        <w:rPr>
                          <w:rFonts w:ascii="Cambria Math" w:hAnsi="Cambria Math"/>
                        </w:rPr>
                        <m:t>=</m:t>
                      </m:r>
                    </m:e>
                  </m:nary>
                </m:e>
              </m:nary>
            </m:e>
          </m:nary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-0.5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m:rPr>
              <m:brk m:alnAt="1"/>
            </m:rPr>
            <w:rPr>
              <w:rFonts w:ascii="Cambria Math" w:hAnsi="Cambria Math"/>
            </w:rPr>
            <m:t>=2-0.5∙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m:rPr>
              <m:brk m:alnAt="1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D257AA" w:rsidRDefault="00B47418" w:rsidP="00DE0C01">
      <w:r>
        <w:t>In order to break the long equation into several parts, right click with the mouse at the point where you wish to break the equation and choose “Insert Manual Break”. Then</w:t>
      </w:r>
      <w:r w:rsidR="000322C0">
        <w:t xml:space="preserve"> use the “Tab” key to align the equations as shown above.</w:t>
      </w:r>
    </w:p>
    <w:p w:rsidR="00D257AA" w:rsidRDefault="00D257AA">
      <w:r>
        <w:br w:type="page"/>
      </w:r>
    </w:p>
    <w:p w:rsidR="00700F06" w:rsidRPr="00700F06" w:rsidRDefault="00700F06" w:rsidP="00700F06">
      <w:pPr>
        <w:pStyle w:val="ListParagraph"/>
        <w:numPr>
          <w:ilvl w:val="0"/>
          <w:numId w:val="7"/>
        </w:numPr>
        <w:rPr>
          <w:b/>
        </w:rPr>
      </w:pPr>
      <w:r w:rsidRPr="00700F06">
        <w:rPr>
          <w:b/>
        </w:rPr>
        <w:t>Aligning systems of equations.</w:t>
      </w:r>
    </w:p>
    <w:p w:rsidR="00700F06" w:rsidRDefault="00700F06" w:rsidP="00700F06">
      <w:r>
        <w:t xml:space="preserve">Suppose you have the system of </w:t>
      </w:r>
      <w:r w:rsidR="003414B0">
        <w:t>equations:</w:t>
      </w:r>
    </w:p>
    <w:p w:rsidR="000322C0" w:rsidRPr="003414B0" w:rsidRDefault="000322C0" w:rsidP="00DE0C01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2x+10y=15+3z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x-y+16z=-5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=7z</m:t>
          </m:r>
        </m:oMath>
      </m:oMathPara>
    </w:p>
    <w:p w:rsidR="003414B0" w:rsidRDefault="00D257AA" w:rsidP="00DE0C01">
      <w:r>
        <w:t>For the above to be recognized as a system, you need to use “Shift+Enter” at the end of the first two equations. Once the system is typed, c</w:t>
      </w:r>
      <w:r w:rsidR="00BD0A12">
        <w:t xml:space="preserve">lick on the right edge of the any of the equations, and select “Justification”, “Center as a Group”. Then </w:t>
      </w:r>
      <w:r w:rsidR="003414B0">
        <w:t>Select the “=” sign, right click with the mouse and choose “Align at this Character”. You need to do this in every equation. The result is:</w:t>
      </w:r>
    </w:p>
    <w:p w:rsidR="003414B0" w:rsidRPr="00BD0A12" w:rsidRDefault="003414B0" w:rsidP="003414B0">
      <m:oMathPara>
        <m:oMath>
          <m:r>
            <m:rPr>
              <m:sty m:val="p"/>
            </m:rPr>
            <w:rPr>
              <w:rFonts w:ascii="Cambria Math" w:hAnsi="Cambria Math"/>
            </w:rPr>
            <m:t>2x+10y</m:t>
          </m:r>
          <m:r>
            <m:rPr>
              <m:sty m:val="p"/>
              <m:aln/>
            </m:rPr>
            <w:rPr>
              <w:rFonts w:ascii="Cambria Math" w:hAnsi="Cambria Math"/>
            </w:rPr>
            <m:t>=15+3z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x-y+16z</m:t>
          </m:r>
          <m:r>
            <m:rPr>
              <m:aln/>
            </m:rPr>
            <w:rPr>
              <w:rFonts w:ascii="Cambria Math" w:hAnsi="Cambria Math"/>
            </w:rPr>
            <m:t>=-5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=7z</m:t>
          </m:r>
        </m:oMath>
      </m:oMathPara>
    </w:p>
    <w:p w:rsidR="000322C0" w:rsidRDefault="00BD0A12" w:rsidP="00DE0C01">
      <w:r>
        <w:t>All the above equations are aligned at “=”.</w:t>
      </w:r>
    </w:p>
    <w:p w:rsidR="009D5644" w:rsidRDefault="009D5644" w:rsidP="00DE0C01"/>
    <w:p w:rsidR="009D5644" w:rsidRDefault="00D74521" w:rsidP="009D5644">
      <w:r w:rsidRPr="00D74521">
        <w:rPr>
          <w:b/>
        </w:rPr>
        <w:t>Exercise</w:t>
      </w:r>
      <w:r>
        <w:t>: type the following mathematical objects.</w:t>
      </w:r>
    </w:p>
    <w:p w:rsidR="00D257AA" w:rsidRDefault="00D257AA" w:rsidP="009D5644"/>
    <w:p w:rsidR="00D257AA" w:rsidRPr="00D257AA" w:rsidRDefault="00D257AA" w:rsidP="009D5644"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x-μ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=1</m:t>
          </m:r>
        </m:oMath>
      </m:oMathPara>
    </w:p>
    <w:p w:rsidR="00D257AA" w:rsidRPr="00D257AA" w:rsidRDefault="00D257AA" w:rsidP="009D5644"/>
    <w:p w:rsidR="00D257AA" w:rsidRPr="00D257AA" w:rsidRDefault="00D257AA" w:rsidP="009D5644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α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β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=α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+β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func>
        </m:oMath>
      </m:oMathPara>
    </w:p>
    <w:p w:rsidR="00D257AA" w:rsidRPr="00D257AA" w:rsidRDefault="00D257AA" w:rsidP="009D5644">
      <w:bookmarkStart w:id="0" w:name="_GoBack"/>
      <w:bookmarkEnd w:id="0"/>
    </w:p>
    <w:p w:rsidR="00D257AA" w:rsidRDefault="00D257AA" w:rsidP="009D564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t+1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1-δ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1+n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θ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1+n</m:t>
              </m:r>
            </m:den>
          </m:f>
        </m:oMath>
      </m:oMathPara>
    </w:p>
    <w:sectPr w:rsidR="00D257AA" w:rsidSect="00501B8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57" w:rsidRDefault="00083257">
      <w:r>
        <w:separator/>
      </w:r>
    </w:p>
  </w:endnote>
  <w:endnote w:type="continuationSeparator" w:id="0">
    <w:p w:rsidR="00083257" w:rsidRDefault="0008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B9" w:rsidRDefault="009E6CB9" w:rsidP="00DA5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CB9" w:rsidRDefault="009E6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B9" w:rsidRDefault="009E6CB9" w:rsidP="00DA5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257">
      <w:rPr>
        <w:rStyle w:val="PageNumber"/>
        <w:noProof/>
      </w:rPr>
      <w:t>1</w:t>
    </w:r>
    <w:r>
      <w:rPr>
        <w:rStyle w:val="PageNumber"/>
      </w:rPr>
      <w:fldChar w:fldCharType="end"/>
    </w:r>
  </w:p>
  <w:p w:rsidR="009E6CB9" w:rsidRDefault="009E6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57" w:rsidRDefault="00083257">
      <w:r>
        <w:separator/>
      </w:r>
    </w:p>
  </w:footnote>
  <w:footnote w:type="continuationSeparator" w:id="0">
    <w:p w:rsidR="00083257" w:rsidRDefault="0008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53B"/>
    <w:multiLevelType w:val="hybridMultilevel"/>
    <w:tmpl w:val="8B76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D4"/>
    <w:multiLevelType w:val="hybridMultilevel"/>
    <w:tmpl w:val="29D6468C"/>
    <w:lvl w:ilvl="0" w:tplc="BBF42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C05"/>
    <w:multiLevelType w:val="hybridMultilevel"/>
    <w:tmpl w:val="31F28924"/>
    <w:lvl w:ilvl="0" w:tplc="AE1A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62B7"/>
    <w:multiLevelType w:val="hybridMultilevel"/>
    <w:tmpl w:val="902C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2CB"/>
    <w:multiLevelType w:val="hybridMultilevel"/>
    <w:tmpl w:val="309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966"/>
    <w:multiLevelType w:val="hybridMultilevel"/>
    <w:tmpl w:val="DCDA4DE4"/>
    <w:lvl w:ilvl="0" w:tplc="489C0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1C2"/>
    <w:multiLevelType w:val="hybridMultilevel"/>
    <w:tmpl w:val="FE6E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A61DD"/>
    <w:multiLevelType w:val="hybridMultilevel"/>
    <w:tmpl w:val="31F28924"/>
    <w:lvl w:ilvl="0" w:tplc="AE1A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E78A1"/>
    <w:multiLevelType w:val="hybridMultilevel"/>
    <w:tmpl w:val="DE4A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2DD4"/>
    <w:multiLevelType w:val="hybridMultilevel"/>
    <w:tmpl w:val="5E36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2BEE"/>
    <w:multiLevelType w:val="hybridMultilevel"/>
    <w:tmpl w:val="8DE2AB90"/>
    <w:lvl w:ilvl="0" w:tplc="073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6103"/>
    <w:multiLevelType w:val="hybridMultilevel"/>
    <w:tmpl w:val="C29A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1"/>
    <w:rsid w:val="00000963"/>
    <w:rsid w:val="000322C0"/>
    <w:rsid w:val="00080523"/>
    <w:rsid w:val="00083257"/>
    <w:rsid w:val="000975D9"/>
    <w:rsid w:val="000A6222"/>
    <w:rsid w:val="000A7238"/>
    <w:rsid w:val="000C5EBF"/>
    <w:rsid w:val="001041C1"/>
    <w:rsid w:val="00105401"/>
    <w:rsid w:val="00143F33"/>
    <w:rsid w:val="00162F99"/>
    <w:rsid w:val="001A4B72"/>
    <w:rsid w:val="001F2560"/>
    <w:rsid w:val="001F50E9"/>
    <w:rsid w:val="001F64A1"/>
    <w:rsid w:val="00206CBA"/>
    <w:rsid w:val="002312A0"/>
    <w:rsid w:val="00273898"/>
    <w:rsid w:val="002871AD"/>
    <w:rsid w:val="00287CE6"/>
    <w:rsid w:val="00294AC5"/>
    <w:rsid w:val="002A5A53"/>
    <w:rsid w:val="002B1180"/>
    <w:rsid w:val="002C4DF9"/>
    <w:rsid w:val="002D1340"/>
    <w:rsid w:val="00325EFC"/>
    <w:rsid w:val="00327058"/>
    <w:rsid w:val="003323F0"/>
    <w:rsid w:val="003414B0"/>
    <w:rsid w:val="0037309B"/>
    <w:rsid w:val="003B0367"/>
    <w:rsid w:val="003C1274"/>
    <w:rsid w:val="003C2BD7"/>
    <w:rsid w:val="00421300"/>
    <w:rsid w:val="00456E3A"/>
    <w:rsid w:val="00467CB9"/>
    <w:rsid w:val="0048270B"/>
    <w:rsid w:val="0048750E"/>
    <w:rsid w:val="004B31CA"/>
    <w:rsid w:val="004C289E"/>
    <w:rsid w:val="004C5C12"/>
    <w:rsid w:val="004E2802"/>
    <w:rsid w:val="00501B87"/>
    <w:rsid w:val="005063C1"/>
    <w:rsid w:val="00507D9B"/>
    <w:rsid w:val="005163E1"/>
    <w:rsid w:val="00587ECF"/>
    <w:rsid w:val="005A7DC5"/>
    <w:rsid w:val="005D2887"/>
    <w:rsid w:val="0062762D"/>
    <w:rsid w:val="006448F0"/>
    <w:rsid w:val="00656EDA"/>
    <w:rsid w:val="00664E3C"/>
    <w:rsid w:val="006835A9"/>
    <w:rsid w:val="006926D9"/>
    <w:rsid w:val="006D39A7"/>
    <w:rsid w:val="006E26B8"/>
    <w:rsid w:val="00700F06"/>
    <w:rsid w:val="00717411"/>
    <w:rsid w:val="00736B29"/>
    <w:rsid w:val="008255DC"/>
    <w:rsid w:val="008319C8"/>
    <w:rsid w:val="008448A4"/>
    <w:rsid w:val="008625A3"/>
    <w:rsid w:val="008A034B"/>
    <w:rsid w:val="00955A22"/>
    <w:rsid w:val="009717F6"/>
    <w:rsid w:val="009728DE"/>
    <w:rsid w:val="00983C6B"/>
    <w:rsid w:val="009B076F"/>
    <w:rsid w:val="009D5644"/>
    <w:rsid w:val="009E6CB9"/>
    <w:rsid w:val="00A97ADA"/>
    <w:rsid w:val="00AD7E0C"/>
    <w:rsid w:val="00B11BD0"/>
    <w:rsid w:val="00B167CB"/>
    <w:rsid w:val="00B259E6"/>
    <w:rsid w:val="00B47418"/>
    <w:rsid w:val="00B554D9"/>
    <w:rsid w:val="00B71757"/>
    <w:rsid w:val="00B77BD2"/>
    <w:rsid w:val="00B848AE"/>
    <w:rsid w:val="00BB2238"/>
    <w:rsid w:val="00BD0A12"/>
    <w:rsid w:val="00BF6CA8"/>
    <w:rsid w:val="00C15F5B"/>
    <w:rsid w:val="00C210BA"/>
    <w:rsid w:val="00C46D6B"/>
    <w:rsid w:val="00CA6960"/>
    <w:rsid w:val="00CD2CF0"/>
    <w:rsid w:val="00D257AA"/>
    <w:rsid w:val="00D52DBD"/>
    <w:rsid w:val="00D74521"/>
    <w:rsid w:val="00DA54ED"/>
    <w:rsid w:val="00DA5D44"/>
    <w:rsid w:val="00DA65E3"/>
    <w:rsid w:val="00DB2ADF"/>
    <w:rsid w:val="00DD0387"/>
    <w:rsid w:val="00DD2E59"/>
    <w:rsid w:val="00DE0C01"/>
    <w:rsid w:val="00DF74AD"/>
    <w:rsid w:val="00E12607"/>
    <w:rsid w:val="00E218B5"/>
    <w:rsid w:val="00E52DD8"/>
    <w:rsid w:val="00E6453C"/>
    <w:rsid w:val="00EC5DA2"/>
    <w:rsid w:val="00EE7E45"/>
    <w:rsid w:val="00F14A9D"/>
    <w:rsid w:val="00F15D76"/>
    <w:rsid w:val="00F31FE4"/>
    <w:rsid w:val="00FC195B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57B98"/>
  <w15:docId w15:val="{42A042EF-C9FD-4F60-9B86-C7ED15B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26B8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6E26B8"/>
    <w:pPr>
      <w:jc w:val="center"/>
    </w:pPr>
    <w:rPr>
      <w:szCs w:val="20"/>
    </w:rPr>
  </w:style>
  <w:style w:type="table" w:styleId="TableGrid">
    <w:name w:val="Table Grid"/>
    <w:basedOn w:val="TableNormal"/>
    <w:rsid w:val="006E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13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6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5E3"/>
  </w:style>
  <w:style w:type="character" w:styleId="Emphasis">
    <w:name w:val="Emphasis"/>
    <w:uiPriority w:val="20"/>
    <w:qFormat/>
    <w:rsid w:val="003270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A4B72"/>
    <w:rPr>
      <w:color w:val="808080"/>
    </w:rPr>
  </w:style>
  <w:style w:type="paragraph" w:styleId="ListParagraph">
    <w:name w:val="List Paragraph"/>
    <w:basedOn w:val="Normal"/>
    <w:uiPriority w:val="34"/>
    <w:qFormat/>
    <w:rsid w:val="00507D9B"/>
    <w:pPr>
      <w:ind w:left="720"/>
      <w:contextualSpacing/>
    </w:pPr>
  </w:style>
  <w:style w:type="character" w:styleId="Hyperlink">
    <w:name w:val="Hyperlink"/>
    <w:basedOn w:val="DefaultParagraphFont"/>
    <w:rsid w:val="004C5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0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m.mtu.edu/~tbco/cm416/EquationEditor_mai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n.edu/~mathiho/useful/Equation%20Editor%20Shortcut%20Command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 - SFSU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</dc:creator>
  <cp:keywords/>
  <dc:description/>
  <cp:lastModifiedBy>Michael Bar</cp:lastModifiedBy>
  <cp:revision>4</cp:revision>
  <cp:lastPrinted>2015-08-27T00:13:00Z</cp:lastPrinted>
  <dcterms:created xsi:type="dcterms:W3CDTF">2018-08-26T16:55:00Z</dcterms:created>
  <dcterms:modified xsi:type="dcterms:W3CDTF">2018-08-26T17:16:00Z</dcterms:modified>
</cp:coreProperties>
</file>