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B1" w:rsidRPr="004C7C50" w:rsidRDefault="008505B1" w:rsidP="008505B1">
      <w:pPr>
        <w:spacing w:after="0" w:line="240" w:lineRule="auto"/>
        <w:ind w:firstLine="810"/>
        <w:jc w:val="center"/>
        <w:rPr>
          <w:rFonts w:ascii="Nunito" w:eastAsia="Nunito" w:hAnsi="Nunito" w:cs="Nunito"/>
          <w:b/>
          <w:color w:val="000000" w:themeColor="text1"/>
          <w:szCs w:val="36"/>
        </w:rPr>
      </w:pPr>
      <w:r w:rsidRPr="004C7C50">
        <w:rPr>
          <w:noProof/>
          <w:color w:val="000000" w:themeColor="text1"/>
          <w:lang w:eastAsia="id-ID"/>
        </w:rPr>
        <w:drawing>
          <wp:anchor distT="0" distB="0" distL="114300" distR="114300" simplePos="0" relativeHeight="251659264" behindDoc="0" locked="0" layoutInCell="1" allowOverlap="1" wp14:anchorId="79A8F309" wp14:editId="6180A33E">
            <wp:simplePos x="0" y="0"/>
            <wp:positionH relativeFrom="column">
              <wp:posOffset>-819150</wp:posOffset>
            </wp:positionH>
            <wp:positionV relativeFrom="paragraph">
              <wp:posOffset>85725</wp:posOffset>
            </wp:positionV>
            <wp:extent cx="1352550" cy="1181735"/>
            <wp:effectExtent l="0" t="0" r="0" b="0"/>
            <wp:wrapNone/>
            <wp:docPr id="6" name="Picture 6" descr="C:\Users\Marsha\Videos\LOGO KE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ha\Videos\LOGO KEP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C50">
        <w:rPr>
          <w:rFonts w:ascii="Nunito" w:eastAsia="Nunito" w:hAnsi="Nunito" w:cs="Nunito"/>
          <w:b/>
          <w:color w:val="000000" w:themeColor="text1"/>
          <w:szCs w:val="36"/>
        </w:rPr>
        <w:t>KOMISI ETIK PENELITIAN KESEHATAN</w:t>
      </w:r>
    </w:p>
    <w:p w:rsidR="008505B1" w:rsidRPr="004C7C50" w:rsidRDefault="008505B1" w:rsidP="008505B1">
      <w:pPr>
        <w:spacing w:after="0" w:line="240" w:lineRule="auto"/>
        <w:ind w:firstLine="810"/>
        <w:jc w:val="center"/>
        <w:rPr>
          <w:rFonts w:ascii="Arial Black" w:eastAsia="Arial Black" w:hAnsi="Arial Black" w:cs="Arial Black"/>
          <w:color w:val="000000" w:themeColor="text1"/>
          <w:sz w:val="32"/>
          <w:szCs w:val="32"/>
        </w:rPr>
      </w:pPr>
      <w:r w:rsidRPr="004C7C50">
        <w:rPr>
          <w:rFonts w:ascii="Arial Black" w:eastAsia="Arial Black" w:hAnsi="Arial Black" w:cs="Arial Black"/>
          <w:color w:val="000000" w:themeColor="text1"/>
          <w:sz w:val="32"/>
          <w:szCs w:val="32"/>
        </w:rPr>
        <w:t>SEKOLAH TINGGI ILMU KESEHATAN</w:t>
      </w:r>
    </w:p>
    <w:p w:rsidR="008505B1" w:rsidRPr="004C7C50" w:rsidRDefault="008505B1" w:rsidP="008505B1">
      <w:pPr>
        <w:spacing w:after="0" w:line="240" w:lineRule="auto"/>
        <w:ind w:firstLine="810"/>
        <w:jc w:val="center"/>
        <w:rPr>
          <w:rFonts w:ascii="Calibri" w:eastAsia="Nunito" w:hAnsi="Calibri" w:cs="Nunito"/>
          <w:b/>
          <w:color w:val="000000" w:themeColor="text1"/>
          <w:szCs w:val="36"/>
        </w:rPr>
      </w:pPr>
      <w:r w:rsidRPr="004C7C50">
        <w:rPr>
          <w:rFonts w:ascii="Calibri" w:eastAsia="Nunito" w:hAnsi="Calibri" w:cs="Nunito"/>
          <w:b/>
          <w:color w:val="000000" w:themeColor="text1"/>
          <w:szCs w:val="36"/>
        </w:rPr>
        <w:t>INSAN CENDEKIA MEDIKA JOMBANG</w:t>
      </w:r>
    </w:p>
    <w:p w:rsidR="008505B1" w:rsidRPr="004C7C50" w:rsidRDefault="008505B1" w:rsidP="008505B1">
      <w:pPr>
        <w:spacing w:after="0" w:line="240" w:lineRule="auto"/>
        <w:ind w:firstLine="810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proofErr w:type="spellStart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Kampus</w:t>
      </w:r>
      <w:proofErr w:type="spellEnd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A Jl. </w:t>
      </w:r>
      <w:proofErr w:type="spellStart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Kemuning</w:t>
      </w:r>
      <w:proofErr w:type="spellEnd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57 </w:t>
      </w:r>
      <w:proofErr w:type="gramStart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A</w:t>
      </w:r>
      <w:proofErr w:type="gramEnd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Candimulyo</w:t>
      </w:r>
      <w:proofErr w:type="spellEnd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Jombang</w:t>
      </w:r>
      <w:proofErr w:type="spellEnd"/>
    </w:p>
    <w:p w:rsidR="008505B1" w:rsidRPr="004C7C50" w:rsidRDefault="008505B1" w:rsidP="008505B1">
      <w:pPr>
        <w:spacing w:after="0" w:line="240" w:lineRule="auto"/>
        <w:ind w:firstLine="810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proofErr w:type="spellStart"/>
      <w:proofErr w:type="gramStart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Telp</w:t>
      </w:r>
      <w:proofErr w:type="spellEnd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.</w:t>
      </w:r>
      <w:proofErr w:type="gramEnd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(0321) 8494886, Fax (0321) 8494335</w:t>
      </w:r>
    </w:p>
    <w:p w:rsidR="008505B1" w:rsidRPr="004C7C50" w:rsidRDefault="008505B1" w:rsidP="008505B1">
      <w:pPr>
        <w:spacing w:after="0" w:line="240" w:lineRule="auto"/>
        <w:ind w:firstLine="810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Website </w:t>
      </w:r>
      <w:hyperlink r:id="rId7" w:history="1">
        <w:r w:rsidRPr="004C7C50">
          <w:rPr>
            <w:rStyle w:val="Hyperlink"/>
            <w:rFonts w:ascii="Arial Narrow" w:eastAsia="Arial Narrow" w:hAnsi="Arial Narrow" w:cs="Arial Narrow"/>
            <w:color w:val="000000" w:themeColor="text1"/>
            <w:sz w:val="24"/>
            <w:szCs w:val="24"/>
          </w:rPr>
          <w:t>http://stikesicme-jbg.ac.id</w:t>
        </w:r>
      </w:hyperlink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proofErr w:type="gramStart"/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/ Email :</w:t>
      </w:r>
      <w:proofErr w:type="gramEnd"/>
      <w:r w:rsidRPr="004C7C50">
        <w:rPr>
          <w:color w:val="000000" w:themeColor="text1"/>
        </w:rPr>
        <w:fldChar w:fldCharType="begin"/>
      </w:r>
      <w:r w:rsidRPr="004C7C50">
        <w:rPr>
          <w:color w:val="000000" w:themeColor="text1"/>
        </w:rPr>
        <w:instrText xml:space="preserve"> HYPERLINK "mailto:kepkicme@" </w:instrText>
      </w:r>
      <w:r w:rsidRPr="004C7C50">
        <w:rPr>
          <w:color w:val="000000" w:themeColor="text1"/>
        </w:rPr>
        <w:fldChar w:fldCharType="separate"/>
      </w:r>
      <w:r w:rsidRPr="004C7C50">
        <w:rPr>
          <w:rStyle w:val="Hyperlink"/>
          <w:rFonts w:ascii="Arial Narrow" w:eastAsia="Arial Narrow" w:hAnsi="Arial Narrow" w:cs="Arial Narrow"/>
          <w:color w:val="000000" w:themeColor="text1"/>
          <w:sz w:val="24"/>
          <w:szCs w:val="24"/>
        </w:rPr>
        <w:t>kepkicme@</w:t>
      </w:r>
      <w:r w:rsidRPr="004C7C50">
        <w:rPr>
          <w:rStyle w:val="Hyperlink"/>
          <w:rFonts w:ascii="Arial Narrow" w:eastAsia="Arial Narrow" w:hAnsi="Arial Narrow" w:cs="Arial Narrow"/>
          <w:color w:val="000000" w:themeColor="text1"/>
          <w:sz w:val="24"/>
          <w:szCs w:val="24"/>
          <w:u w:val="none"/>
        </w:rPr>
        <w:fldChar w:fldCharType="end"/>
      </w:r>
      <w:r w:rsidRPr="004C7C50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gmail.com</w:t>
      </w:r>
    </w:p>
    <w:p w:rsidR="008505B1" w:rsidRPr="004C7C50" w:rsidRDefault="008505B1" w:rsidP="008505B1">
      <w:pPr>
        <w:pBdr>
          <w:top w:val="single" w:sz="24" w:space="1" w:color="auto"/>
          <w:between w:val="single" w:sz="4" w:space="1" w:color="auto"/>
        </w:pBdr>
        <w:spacing w:after="0" w:line="240" w:lineRule="auto"/>
        <w:ind w:right="-961" w:hanging="1260"/>
        <w:jc w:val="center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:rsidR="008505B1" w:rsidRPr="004C7C50" w:rsidRDefault="008505B1" w:rsidP="008505B1">
      <w:pPr>
        <w:spacing w:line="240" w:lineRule="auto"/>
        <w:ind w:left="0" w:firstLine="0"/>
        <w:jc w:val="center"/>
        <w:rPr>
          <w:rFonts w:ascii="Cambria" w:hAnsi="Cambria" w:cs="Arial"/>
          <w:b/>
          <w:color w:val="000000" w:themeColor="text1"/>
          <w:szCs w:val="36"/>
          <w:lang w:val="id-ID"/>
        </w:rPr>
      </w:pPr>
      <w:r w:rsidRPr="004C7C50">
        <w:rPr>
          <w:rFonts w:ascii="Cambria" w:hAnsi="Cambria" w:cs="Arial"/>
          <w:b/>
          <w:color w:val="000000" w:themeColor="text1"/>
          <w:szCs w:val="36"/>
          <w:lang w:val="id-ID"/>
        </w:rPr>
        <w:t>Panduan Pembuatan</w:t>
      </w:r>
    </w:p>
    <w:p w:rsidR="00CD75B1" w:rsidRPr="004C7C50" w:rsidRDefault="00CD75B1" w:rsidP="008505B1">
      <w:pPr>
        <w:spacing w:line="240" w:lineRule="auto"/>
        <w:ind w:left="0" w:firstLine="0"/>
        <w:jc w:val="center"/>
        <w:rPr>
          <w:rFonts w:ascii="Cambria" w:hAnsi="Cambria" w:cs="Arial"/>
          <w:b/>
          <w:color w:val="000000" w:themeColor="text1"/>
          <w:szCs w:val="36"/>
        </w:rPr>
      </w:pPr>
      <w:r w:rsidRPr="004C7C50">
        <w:rPr>
          <w:rFonts w:ascii="Cambria" w:hAnsi="Cambria" w:cs="Arial"/>
          <w:b/>
          <w:i/>
          <w:color w:val="000000" w:themeColor="text1"/>
          <w:szCs w:val="36"/>
        </w:rPr>
        <w:t xml:space="preserve">Informed Consent </w:t>
      </w:r>
      <w:r w:rsidRPr="004C7C50">
        <w:rPr>
          <w:rFonts w:ascii="Cambria" w:hAnsi="Cambria" w:cs="Arial"/>
          <w:b/>
          <w:color w:val="000000" w:themeColor="text1"/>
          <w:szCs w:val="36"/>
        </w:rPr>
        <w:t>(</w:t>
      </w:r>
      <w:proofErr w:type="spellStart"/>
      <w:r w:rsidRPr="004C7C50">
        <w:rPr>
          <w:rFonts w:ascii="Cambria" w:hAnsi="Cambria" w:cs="Arial"/>
          <w:b/>
          <w:color w:val="000000" w:themeColor="text1"/>
          <w:szCs w:val="36"/>
        </w:rPr>
        <w:t>Persetujuan</w:t>
      </w:r>
      <w:proofErr w:type="spellEnd"/>
      <w:r w:rsidRPr="004C7C50">
        <w:rPr>
          <w:rFonts w:ascii="Cambria" w:hAnsi="Cambria" w:cs="Arial"/>
          <w:b/>
          <w:color w:val="000000" w:themeColor="text1"/>
          <w:szCs w:val="36"/>
        </w:rPr>
        <w:t xml:space="preserve"> </w:t>
      </w:r>
      <w:proofErr w:type="spellStart"/>
      <w:r w:rsidRPr="004C7C50">
        <w:rPr>
          <w:rFonts w:ascii="Cambria" w:hAnsi="Cambria" w:cs="Arial"/>
          <w:b/>
          <w:color w:val="000000" w:themeColor="text1"/>
          <w:szCs w:val="36"/>
        </w:rPr>
        <w:t>Setelah</w:t>
      </w:r>
      <w:proofErr w:type="spellEnd"/>
      <w:r w:rsidRPr="004C7C50">
        <w:rPr>
          <w:rFonts w:ascii="Cambria" w:hAnsi="Cambria" w:cs="Arial"/>
          <w:b/>
          <w:color w:val="000000" w:themeColor="text1"/>
          <w:szCs w:val="36"/>
        </w:rPr>
        <w:t xml:space="preserve"> </w:t>
      </w:r>
      <w:proofErr w:type="spellStart"/>
      <w:r w:rsidRPr="004C7C50">
        <w:rPr>
          <w:rFonts w:ascii="Cambria" w:hAnsi="Cambria" w:cs="Arial"/>
          <w:b/>
          <w:color w:val="000000" w:themeColor="text1"/>
          <w:szCs w:val="36"/>
        </w:rPr>
        <w:t>Penjelasan</w:t>
      </w:r>
      <w:proofErr w:type="spellEnd"/>
      <w:r w:rsidRPr="004C7C50">
        <w:rPr>
          <w:rFonts w:ascii="Cambria" w:hAnsi="Cambria" w:cs="Arial"/>
          <w:b/>
          <w:color w:val="000000" w:themeColor="text1"/>
          <w:szCs w:val="36"/>
        </w:rPr>
        <w:t>)</w:t>
      </w:r>
    </w:p>
    <w:p w:rsidR="00CD75B1" w:rsidRPr="004C7C50" w:rsidRDefault="00CD75B1" w:rsidP="008505B1">
      <w:pPr>
        <w:autoSpaceDE w:val="0"/>
        <w:autoSpaceDN w:val="0"/>
        <w:adjustRightInd w:val="0"/>
        <w:spacing w:line="240" w:lineRule="auto"/>
        <w:ind w:left="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Sebelum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meminta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seseorang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untuk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berpartisipasi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dalam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penelitian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beberapa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informasi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harus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diberikan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kepada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calon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subjek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baik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tertulis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atau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dengan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C7C50">
        <w:rPr>
          <w:rFonts w:ascii="Cambria" w:hAnsi="Cambria" w:cs="Arial"/>
          <w:color w:val="000000" w:themeColor="text1"/>
          <w:sz w:val="24"/>
          <w:szCs w:val="24"/>
        </w:rPr>
        <w:t>cara</w:t>
      </w:r>
      <w:proofErr w:type="spellEnd"/>
      <w:proofErr w:type="gram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komunikasi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lain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sehingga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calon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subyek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dapat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memahami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dengan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hAnsi="Cambria" w:cs="Arial"/>
          <w:color w:val="000000" w:themeColor="text1"/>
          <w:sz w:val="24"/>
          <w:szCs w:val="24"/>
        </w:rPr>
        <w:t>baik</w:t>
      </w:r>
      <w:proofErr w:type="spellEnd"/>
      <w:r w:rsidRPr="004C7C50">
        <w:rPr>
          <w:rFonts w:ascii="Cambria" w:hAnsi="Cambria" w:cs="Arial"/>
          <w:color w:val="000000" w:themeColor="text1"/>
          <w:sz w:val="24"/>
          <w:szCs w:val="24"/>
        </w:rPr>
        <w:t xml:space="preserve">:  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Tujuan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metodologinya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prosedur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pelaksanaan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oleh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oleh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apa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perbedaan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antara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peneilian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pelayanan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kesehatan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biasa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Mengapa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diminta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ikut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serta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dalam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pertimbangan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apa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sehingga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sesuai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mengikuti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keikutsertaannya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bersifat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sukarela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bebas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menolak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berpartisipasi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bebas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mengundurkan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tanpa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sangsi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kehilangan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haknya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. 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Perkiraan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lamanya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waktu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berpartisipasi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(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termasuk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berapa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kali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mengunjungi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lokasi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banyaknya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waktu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tersita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)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kemungkinan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percobaannya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selesai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lebih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awal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. 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Apakah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setelah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selesai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subyek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imbalan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berupa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uang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barang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lsebagai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cindera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mata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kalau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berupa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uang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harus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disebutkan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jumlahnya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sebagai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pengganti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>/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kompensasi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kehilangan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waktu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ketidaknyamanan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Bahwa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setelah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selesai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mengenai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hasil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secara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umum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Bahwa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selama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sesudah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pengambilan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pengambilan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sampel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biologi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diberitahu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keadaan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kesehatannya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perlu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dilakukan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tindakan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medis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ditemukan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sebetulnya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diminta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diberitahukan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kepada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subje.k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mempunyai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mendapatkan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klinik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relevan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ditemukan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dalam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(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kecuali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Komisi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etik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menyetujui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memberitahukan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kepada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tetapi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tetap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harus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diberitahukan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alasannya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>).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r w:rsidRPr="004C7C50">
        <w:rPr>
          <w:rFonts w:ascii="Cambria" w:eastAsia="NewsGothicStd" w:hAnsi="Cambria"/>
          <w:color w:val="000000" w:themeColor="text1"/>
        </w:rPr>
        <w:t xml:space="preserve">Rasa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sakit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nyaman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intervensi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disebut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risiko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kemungkinan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bahaya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terhadap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subyek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harus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diberitahukan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termasuk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risiko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terhadap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kesehatan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kesejahteraan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subyek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keluarganya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Potensi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keuntungan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klinis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kalau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merupakan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diharapkan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keikutsertaanya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dalam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lastRenderedPageBreak/>
        <w:t>Harapan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keuntungan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terhadap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komunitas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masyarakat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luas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kontribusi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terhadap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ilmu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pengetahuan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Bagaimana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masa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transisi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diatur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seberapa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jauh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mereka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(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)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mendapatkan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keuntungan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intervensi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pasca-uji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apakah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mereka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diminta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membayar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mereka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(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>).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Risiko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kalau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mendapatkan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perlakuan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diketahui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mendapatkan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uji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obat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belum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terdaftar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Adanya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intervensi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pengobatan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alternative.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Adanya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muncul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tersebut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sumber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lain.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Adanya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jaminan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privasi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subyek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kerahasiaan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</w:t>
      </w:r>
      <w:bookmarkStart w:id="0" w:name="_GoBack"/>
      <w:bookmarkEnd w:id="0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didapat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Keterbatasan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adanya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aturan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lainnya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menghalangi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menjaga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kerahasiaan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kemungkinan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adanya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pelanggaran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kerahasiaan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Adanya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konfik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kepentingan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antara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sponsor,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insitusi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asal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dana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bagaimana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mengatasi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konfik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kepentingan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tersebut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. 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Apakah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disini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sebagai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sekaligus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sebagai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dokter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Tanggung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jawab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memberikan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pelayanan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kesehatan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selama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sesudah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selesai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Pengobatan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rehabilisasi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secara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gratis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khusus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berhubungan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misalnya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cedera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komplikasi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berhubungan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jenis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lamanya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perawatan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nama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pelayanan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kesehatan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organisasi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memberikan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pengobatan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apakah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tersedia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tersebut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Bagaiman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caranya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oleh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siapa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keluarga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menjadi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tanggungan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kompensasi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terjadi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kecacatan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meninggal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dunia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Apakah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dinegara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asal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kompensasi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seperti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tersebut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diatas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dijamin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legalitasnya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Bahwa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Komisi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etik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telah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memberikan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persetujuannya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pelaksanaan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tersebut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Subyek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terjadi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pelanggaran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pelaksanaan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protokol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bagiamana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keamanan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kesejahteraan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dijamin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autoSpaceDE w:val="0"/>
        <w:autoSpaceDN w:val="0"/>
        <w:adjustRightInd w:val="0"/>
        <w:contextualSpacing w:val="0"/>
        <w:jc w:val="both"/>
        <w:rPr>
          <w:rFonts w:ascii="Cambria" w:eastAsia="NewsGothicStd" w:hAnsi="Cambria"/>
          <w:color w:val="000000" w:themeColor="text1"/>
        </w:rPr>
      </w:pPr>
    </w:p>
    <w:p w:rsidR="00CD75B1" w:rsidRPr="004C7C50" w:rsidRDefault="00CD75B1" w:rsidP="008505B1">
      <w:pPr>
        <w:autoSpaceDE w:val="0"/>
        <w:autoSpaceDN w:val="0"/>
        <w:adjustRightInd w:val="0"/>
        <w:spacing w:line="240" w:lineRule="auto"/>
        <w:ind w:left="0"/>
        <w:rPr>
          <w:rFonts w:ascii="Cambria" w:eastAsia="NewsGothicStd" w:hAnsi="Cambria" w:cs="Arial"/>
          <w:color w:val="000000" w:themeColor="text1"/>
          <w:sz w:val="24"/>
          <w:szCs w:val="24"/>
        </w:rPr>
      </w:pP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Untuk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kasus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khusus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sebelum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meminta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persetujuan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dari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individu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untuk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ikut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serta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dalam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penelitian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peneliti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harus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mendapatkan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informasi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baik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secara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tertulis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atau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bentuk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komunikasi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lain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sehingga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individu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tersebut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mengerti</w:t>
      </w:r>
      <w:proofErr w:type="spellEnd"/>
      <w:r w:rsidRPr="004C7C50">
        <w:rPr>
          <w:rFonts w:ascii="Cambria" w:eastAsia="NewsGothicStd" w:hAnsi="Cambria" w:cs="Arial"/>
          <w:color w:val="000000" w:themeColor="text1"/>
          <w:sz w:val="24"/>
          <w:szCs w:val="24"/>
        </w:rPr>
        <w:t>:</w:t>
      </w:r>
    </w:p>
    <w:p w:rsidR="00CD75B1" w:rsidRPr="004C7C50" w:rsidRDefault="00CD75B1" w:rsidP="008505B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uji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control,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desain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(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misal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randomisasi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r w:rsidRPr="004C7C50">
        <w:rPr>
          <w:rFonts w:ascii="Cambria" w:eastAsia="NewsGothicStd" w:hAnsi="Cambria"/>
          <w:i/>
          <w:color w:val="000000" w:themeColor="text1"/>
        </w:rPr>
        <w:t>double-blinding</w:t>
      </w:r>
      <w:r w:rsidRPr="004C7C50">
        <w:rPr>
          <w:rFonts w:ascii="Cambria" w:eastAsia="NewsGothicStd" w:hAnsi="Cambria"/>
          <w:color w:val="000000" w:themeColor="text1"/>
        </w:rPr>
        <w:t xml:space="preserve">)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diberitahukan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sampai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selesai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datanya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dibuka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semua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bisa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diinformasikan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supaya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dapat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menyetujui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lengkap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lengkap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sebelum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dianalisis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saat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kebebasan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menarik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dikumpulkan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selama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. </w:t>
      </w:r>
    </w:p>
    <w:p w:rsidR="00CD75B1" w:rsidRPr="004C7C50" w:rsidRDefault="00CD75B1" w:rsidP="008505B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Peraturan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sehubungan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hasil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test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genetika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genetik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berhubungan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keluarga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;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harus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hati-hati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hasil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genetika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berhubungan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langsung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keluarga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lainnya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(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misalnya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asuransi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pegawai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asuransi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)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tanpa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persetujuan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lastRenderedPageBreak/>
        <w:t>Kemungknan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pemanfaatan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hasil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secara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langsung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langsung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terhadap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rekam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medis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spesimen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biologi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subyek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keperluan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lain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misalnya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pengobatan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pengumpulan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penyimpanan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pemanfaatan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materi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biologi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berhubungan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kesehatan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dimintakan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PSP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lebih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luas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tetapi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harus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lebih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spesifik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: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kebutuhan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biobank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harus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disebutkan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kondisi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lamanya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penyimpanan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;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aturan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bagaimana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akses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biobank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bagaiman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donor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dapat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menghubungi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petugas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biobank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tetap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mendapatkan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penggunaan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datang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apakah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terbatas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sudah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berjalan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dilanjutkan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dengn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lebih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lanjut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menggunakan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sebagian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semua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material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disimpan,apakah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sisa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material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dimusnahkan,kalau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disebutkan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secara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detail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bagaimana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cara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penyimpanannya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;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subjek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mempunyai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menentukan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penggunaan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selanjutnya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menolak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penyimpanan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meminta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supoaya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 material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dimusnahkan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Wanita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usia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subur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(WUS)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berparisipasi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dalam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kesehatan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kemungkinan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terjadinya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risiko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selama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menjadi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hamil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terhadap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kehamilannya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janinnya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anak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dilahirkan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mendapatkan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jaminan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kehamilan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menggunakan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kontrasepsi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terjamin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aman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pengguguran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legal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sebelum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terekspos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oleh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potensi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terpapar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oleh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bahan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teratogenik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mutagenik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. </w:t>
      </w:r>
    </w:p>
    <w:p w:rsidR="00CD75B1" w:rsidRPr="004C7C50" w:rsidRDefault="00CD75B1" w:rsidP="008505B1">
      <w:pPr>
        <w:pStyle w:val="ListParagraph"/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Kalau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legal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aborsi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atau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alat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kontrasepti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memungkinkan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alternative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lokasi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memungkinkan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wanita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tersebut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harus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diberikan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tentang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: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risiko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kehamilan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diinginkan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dasar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abortus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legal;mengurangi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kesakitan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dari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aborsi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aman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komplikasi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mengikutinya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;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kehamilan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digagalkan,ada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jaminan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tindak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lanjut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tindakan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medis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kesehatan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ibu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anak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semua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kadang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sukar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menentukan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sebab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terjadinya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kecacatan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anak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bayi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Dalam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ibu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hamil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menyusui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risiko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keikutsertaan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dalam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terhadap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khamilannya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janinnya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keturunannya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apa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dilakukan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memaksimalkan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keuntungan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subyek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risiko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minimal,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sangat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sulit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ditentukan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penyebab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terjadinya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kecacatan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janin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bayi</w:t>
      </w:r>
      <w:proofErr w:type="spellEnd"/>
    </w:p>
    <w:p w:rsidR="00CD75B1" w:rsidRPr="004C7C50" w:rsidRDefault="00CD75B1" w:rsidP="008505B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Dalam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hal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koban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bencana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umumnya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dalam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keadaan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tertekan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perbedaan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antara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kemanusiaan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harus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jelas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p w:rsidR="00CD75B1" w:rsidRPr="004C7C50" w:rsidRDefault="00CD75B1" w:rsidP="008505B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jc w:val="both"/>
        <w:rPr>
          <w:rFonts w:ascii="Cambria" w:eastAsia="NewsGothicStd" w:hAnsi="Cambria"/>
          <w:color w:val="000000" w:themeColor="text1"/>
        </w:rPr>
      </w:pPr>
      <w:proofErr w:type="spellStart"/>
      <w:r w:rsidRPr="004C7C50">
        <w:rPr>
          <w:rFonts w:ascii="Cambria" w:eastAsia="NewsGothicStd" w:hAnsi="Cambria"/>
          <w:color w:val="000000" w:themeColor="text1"/>
        </w:rPr>
        <w:t>Bila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penelitian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dilakukan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secara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online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memakai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alat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digital online yang </w:t>
      </w:r>
      <w:proofErr w:type="spellStart"/>
      <w:proofErr w:type="gram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proofErr w:type="gram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menyangkut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individu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yang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rentan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,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informasi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mengenai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kerahasiaan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privasi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keamanan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dipakai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untuk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melindungi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data</w:t>
      </w:r>
      <w:r w:rsidRPr="004C7C50">
        <w:rPr>
          <w:rFonts w:ascii="Arial" w:eastAsia="NewsGothicStd" w:hAnsi="Arial"/>
          <w:color w:val="000000" w:themeColor="text1"/>
          <w:sz w:val="22"/>
          <w:szCs w:val="22"/>
        </w:rPr>
        <w:t xml:space="preserve"> </w:t>
      </w:r>
      <w:proofErr w:type="spellStart"/>
      <w:r w:rsidRPr="004C7C50">
        <w:rPr>
          <w:rFonts w:ascii="Arial" w:eastAsia="NewsGothicStd" w:hAnsi="Arial"/>
          <w:color w:val="000000" w:themeColor="text1"/>
          <w:sz w:val="22"/>
          <w:szCs w:val="22"/>
        </w:rPr>
        <w:t>mereka</w:t>
      </w:r>
      <w:proofErr w:type="spellEnd"/>
      <w:r w:rsidRPr="004C7C50">
        <w:rPr>
          <w:rFonts w:ascii="Arial" w:eastAsia="NewsGothicStd" w:hAnsi="Arial"/>
          <w:color w:val="000000" w:themeColor="text1"/>
          <w:sz w:val="22"/>
          <w:szCs w:val="22"/>
        </w:rPr>
        <w:t xml:space="preserve">;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keterbatasan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risiko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tetap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ada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walupun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dilakukan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 xml:space="preserve"> </w:t>
      </w:r>
      <w:proofErr w:type="spellStart"/>
      <w:r w:rsidRPr="004C7C50">
        <w:rPr>
          <w:rFonts w:ascii="Cambria" w:eastAsia="NewsGothicStd" w:hAnsi="Cambria"/>
          <w:color w:val="000000" w:themeColor="text1"/>
        </w:rPr>
        <w:t>pengamanan</w:t>
      </w:r>
      <w:proofErr w:type="spellEnd"/>
      <w:r w:rsidRPr="004C7C50">
        <w:rPr>
          <w:rFonts w:ascii="Cambria" w:eastAsia="NewsGothicStd" w:hAnsi="Cambria"/>
          <w:color w:val="000000" w:themeColor="text1"/>
        </w:rPr>
        <w:t>.</w:t>
      </w:r>
    </w:p>
    <w:sectPr w:rsidR="00CD75B1" w:rsidRPr="004C7C50" w:rsidSect="008505B1">
      <w:pgSz w:w="11907" w:h="16839" w:code="9"/>
      <w:pgMar w:top="992" w:right="1797" w:bottom="1440" w:left="1797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ic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8FF"/>
    <w:multiLevelType w:val="hybridMultilevel"/>
    <w:tmpl w:val="91C8525E"/>
    <w:lvl w:ilvl="0" w:tplc="B6D6A7DE">
      <w:start w:val="1"/>
      <w:numFmt w:val="decimal"/>
      <w:lvlText w:val="%1."/>
      <w:lvlJc w:val="left"/>
      <w:pPr>
        <w:ind w:left="360" w:hanging="360"/>
      </w:pPr>
      <w:rPr>
        <w:rFonts w:ascii="Calibri" w:eastAsia="Calibri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435F"/>
    <w:multiLevelType w:val="hybridMultilevel"/>
    <w:tmpl w:val="B95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66D3"/>
    <w:multiLevelType w:val="hybridMultilevel"/>
    <w:tmpl w:val="D810A0D0"/>
    <w:lvl w:ilvl="0" w:tplc="F816E5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B1"/>
    <w:rsid w:val="000D63B4"/>
    <w:rsid w:val="004C7C50"/>
    <w:rsid w:val="00640563"/>
    <w:rsid w:val="008505B1"/>
    <w:rsid w:val="009F6FBF"/>
    <w:rsid w:val="00CD75B1"/>
    <w:rsid w:val="00D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B1"/>
    <w:pPr>
      <w:spacing w:after="200" w:line="276" w:lineRule="auto"/>
      <w:ind w:left="360" w:firstLine="360"/>
      <w:jc w:val="both"/>
    </w:pPr>
    <w:rPr>
      <w:rFonts w:ascii="Arial" w:eastAsia="Calibri" w:hAnsi="Arial" w:cs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B1"/>
    <w:pPr>
      <w:spacing w:after="0" w:line="240" w:lineRule="auto"/>
      <w:ind w:left="720" w:firstLine="0"/>
      <w:contextualSpacing/>
      <w:jc w:val="left"/>
    </w:pPr>
    <w:rPr>
      <w:rFonts w:ascii="Calibri" w:eastAsia="Times New Roman" w:hAnsi="Calibri" w:cs="Arial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CD75B1"/>
    <w:pPr>
      <w:ind w:left="720" w:firstLine="0"/>
      <w:contextualSpacing/>
      <w:jc w:val="left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CD75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B1"/>
    <w:pPr>
      <w:spacing w:after="200" w:line="276" w:lineRule="auto"/>
      <w:ind w:left="360" w:firstLine="360"/>
      <w:jc w:val="both"/>
    </w:pPr>
    <w:rPr>
      <w:rFonts w:ascii="Arial" w:eastAsia="Calibri" w:hAnsi="Arial" w:cs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B1"/>
    <w:pPr>
      <w:spacing w:after="0" w:line="240" w:lineRule="auto"/>
      <w:ind w:left="720" w:firstLine="0"/>
      <w:contextualSpacing/>
      <w:jc w:val="left"/>
    </w:pPr>
    <w:rPr>
      <w:rFonts w:ascii="Calibri" w:eastAsia="Times New Roman" w:hAnsi="Calibri" w:cs="Arial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CD75B1"/>
    <w:pPr>
      <w:ind w:left="720" w:firstLine="0"/>
      <w:contextualSpacing/>
      <w:jc w:val="left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CD75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ikesicme-jb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HARYANTO</dc:creator>
  <cp:lastModifiedBy>Yosdim</cp:lastModifiedBy>
  <cp:revision>4</cp:revision>
  <dcterms:created xsi:type="dcterms:W3CDTF">2019-02-25T11:07:00Z</dcterms:created>
  <dcterms:modified xsi:type="dcterms:W3CDTF">2019-02-27T04:56:00Z</dcterms:modified>
</cp:coreProperties>
</file>