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60" w:rsidRPr="00104E60" w:rsidRDefault="00104E60" w:rsidP="00104E60">
      <w:pPr>
        <w:rPr>
          <w:rFonts w:ascii="Garamond" w:hAnsi="Garamond"/>
          <w:b/>
          <w:smallCaps/>
          <w:sz w:val="28"/>
          <w:szCs w:val="28"/>
        </w:rPr>
      </w:pPr>
      <w:r w:rsidRPr="00104E60">
        <w:rPr>
          <w:rFonts w:ascii="Garamond" w:hAnsi="Garamond"/>
          <w:b/>
          <w:bCs/>
          <w:smallCaps/>
          <w:sz w:val="28"/>
          <w:szCs w:val="28"/>
        </w:rPr>
        <w:t>Biblical Foundations for Pastoral Counseling</w:t>
      </w:r>
      <w:r w:rsidRPr="00104E60">
        <w:rPr>
          <w:rFonts w:ascii="Garamond" w:hAnsi="Garamond"/>
          <w:b/>
          <w:smallCaps/>
          <w:sz w:val="28"/>
          <w:szCs w:val="28"/>
        </w:rPr>
        <w:t> </w:t>
      </w:r>
    </w:p>
    <w:p w:rsidR="00857E9A" w:rsidRPr="00104E60" w:rsidRDefault="00857E9A" w:rsidP="00104E60">
      <w:pPr>
        <w:rPr>
          <w:rFonts w:ascii="Garamond" w:hAnsi="Garamond"/>
          <w:i/>
          <w:sz w:val="16"/>
          <w:szCs w:val="16"/>
        </w:rPr>
      </w:pPr>
      <w:r w:rsidRPr="00104E60">
        <w:rPr>
          <w:rFonts w:ascii="Garamond" w:hAnsi="Garamond"/>
          <w:i/>
          <w:sz w:val="16"/>
          <w:szCs w:val="16"/>
        </w:rPr>
        <w:t xml:space="preserve">By </w:t>
      </w:r>
      <w:r w:rsidR="00104E60" w:rsidRPr="00104E60">
        <w:rPr>
          <w:rFonts w:ascii="Garamond" w:hAnsi="Garamond"/>
          <w:i/>
          <w:sz w:val="16"/>
          <w:szCs w:val="16"/>
        </w:rPr>
        <w:t xml:space="preserve">Howard John Clinebell in </w:t>
      </w:r>
      <w:r w:rsidR="00104E60" w:rsidRPr="00104E60">
        <w:rPr>
          <w:rFonts w:ascii="Garamond" w:hAnsi="Garamond"/>
          <w:b/>
          <w:i/>
          <w:iCs/>
          <w:sz w:val="16"/>
          <w:szCs w:val="16"/>
        </w:rPr>
        <w:t>Basic Types of Pastoral Care and Counseling: Resources for the Ministry of Healing and Growth</w:t>
      </w:r>
      <w:r w:rsidR="00104E60" w:rsidRPr="00104E60">
        <w:rPr>
          <w:rFonts w:ascii="Garamond" w:hAnsi="Garamond"/>
          <w:i/>
          <w:iCs/>
          <w:sz w:val="16"/>
          <w:szCs w:val="16"/>
        </w:rPr>
        <w:t> </w:t>
      </w:r>
      <w:r w:rsidR="00104E60" w:rsidRPr="00104E60">
        <w:rPr>
          <w:rFonts w:ascii="Garamond" w:hAnsi="Garamond"/>
          <w:i/>
          <w:sz w:val="16"/>
          <w:szCs w:val="16"/>
        </w:rPr>
        <w:t>(Abingdon Press, 1984): 60.</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As a pastoral counselor, you will assist your counselees in their pursuit of wholeness, which is accomplished through their growing cooperation with the Holy Spirit working within them so that others may see Christ in every aspect of their lives. This life goal, rather than today’s narcissistic pursuit of self-adulation and self-indulgence, is what Jesus purposed for all believers when he said, “I have come that they may have life, and have it to the full.” John 10:10 (NIV)</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Counseling, therefore, means encountering your counselees where they are in their personal spiritual development, helping them to understand where God wants them to be in comparison to where they are (see Romans 8:29), and assisting them in removing barriers to their spiritual growth and relationship with God.</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The result will be an impact on the self-esteem of the counselee. Self-esteem is a by-product of self-concept (the beliefs and “pictures” someone has of himself or herself), someone’s concept of human nature and purpose in general, as well as the messages received from others regarding their value. </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One of the primary challenges of today’s pastoral counselor is to ensure that counselees truly understand God’s design for people – that God designed them with a purpose and that God’s purpose transcends self-adulation and self-indulgence, and bestows priceless value to them as a result of Christ’s sacrifice. True and lasting self esteem is built on an authentic relationship with God, the grace and mercy of God’s redemptive plan, and the need to recognize their dependence upon Him.</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Clinebell wrote that the awareness that one can be accepted by God “awakens hope and liberates energy for creative change. This experience of grace can produce inner transformation, enhancing self-esteem and a sense of aliveness.”</w:t>
      </w:r>
      <w:r w:rsidRPr="00104E60">
        <w:rPr>
          <w:rFonts w:ascii="Garamond" w:hAnsi="Garamond"/>
          <w:sz w:val="20"/>
          <w:szCs w:val="20"/>
          <w:vertAlign w:val="superscript"/>
        </w:rPr>
        <w:t>1</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Scripture teaches that the church has five functions: corporate worship, proclaiming the good news of God’s love (the Greek word</w:t>
      </w:r>
      <w:r w:rsidRPr="00104E60">
        <w:rPr>
          <w:rFonts w:ascii="Garamond" w:hAnsi="Garamond"/>
          <w:i/>
          <w:iCs/>
          <w:sz w:val="20"/>
          <w:szCs w:val="20"/>
        </w:rPr>
        <w:t> kerygma</w:t>
      </w:r>
      <w:r w:rsidRPr="00104E60">
        <w:rPr>
          <w:rFonts w:ascii="Garamond" w:hAnsi="Garamond"/>
          <w:sz w:val="20"/>
          <w:szCs w:val="20"/>
        </w:rPr>
        <w:t>), teaching in order to facilitate maturity (the Greek word </w:t>
      </w:r>
      <w:r w:rsidRPr="00104E60">
        <w:rPr>
          <w:rFonts w:ascii="Garamond" w:hAnsi="Garamond"/>
          <w:i/>
          <w:iCs/>
          <w:sz w:val="20"/>
          <w:szCs w:val="20"/>
        </w:rPr>
        <w:t>didache</w:t>
      </w:r>
      <w:r w:rsidRPr="00104E60">
        <w:rPr>
          <w:rFonts w:ascii="Garamond" w:hAnsi="Garamond"/>
          <w:sz w:val="20"/>
          <w:szCs w:val="20"/>
        </w:rPr>
        <w:t>), the establishment of a caring community (the Greek word </w:t>
      </w:r>
      <w:r w:rsidRPr="00104E60">
        <w:rPr>
          <w:rFonts w:ascii="Garamond" w:hAnsi="Garamond"/>
          <w:i/>
          <w:iCs/>
          <w:sz w:val="20"/>
          <w:szCs w:val="20"/>
        </w:rPr>
        <w:t>koinonia</w:t>
      </w:r>
      <w:r w:rsidRPr="00104E60">
        <w:rPr>
          <w:rFonts w:ascii="Garamond" w:hAnsi="Garamond"/>
          <w:sz w:val="20"/>
          <w:szCs w:val="20"/>
        </w:rPr>
        <w:t>), and loving service (the Greek word </w:t>
      </w:r>
      <w:r w:rsidRPr="00104E60">
        <w:rPr>
          <w:rFonts w:ascii="Garamond" w:hAnsi="Garamond"/>
          <w:i/>
          <w:iCs/>
          <w:sz w:val="20"/>
          <w:szCs w:val="20"/>
        </w:rPr>
        <w:t>diakonia</w:t>
      </w:r>
      <w:r w:rsidRPr="00104E60">
        <w:rPr>
          <w:rFonts w:ascii="Garamond" w:hAnsi="Garamond"/>
          <w:sz w:val="20"/>
          <w:szCs w:val="20"/>
        </w:rPr>
        <w:t>). Pastoral counseling supports all of these functions, building the church through healing the wounds of the counselee, equipping them for service, and “plugging them into” the life of the congregation.</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 xml:space="preserve">Thus, the working premise for the pastoral counselor is that “spiritual growth is an essential objective in all caring and counseling.”  By definition, this requires that the basis for </w:t>
      </w:r>
      <w:r w:rsidRPr="00104E60">
        <w:rPr>
          <w:rFonts w:ascii="Garamond" w:hAnsi="Garamond"/>
          <w:sz w:val="20"/>
          <w:szCs w:val="20"/>
        </w:rPr>
        <w:lastRenderedPageBreak/>
        <w:t>counseling should be God’s Word.  Communication and counseling techniques derived from psychological research and other counseling fields may be of assistance in the counseling process when utilized as the “mechanics” of human functioning, but can never replace Scripture’s foundational principles as the source for understanding human design, purpose and health.</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104E60" w:rsidRPr="00104E60" w:rsidRDefault="00104E60" w:rsidP="00104E60">
      <w:pPr>
        <w:jc w:val="both"/>
        <w:rPr>
          <w:rFonts w:ascii="Garamond" w:hAnsi="Garamond"/>
          <w:sz w:val="20"/>
          <w:szCs w:val="20"/>
        </w:rPr>
      </w:pPr>
      <w:r w:rsidRPr="00104E60">
        <w:rPr>
          <w:rFonts w:ascii="Garamond" w:hAnsi="Garamond"/>
          <w:sz w:val="20"/>
          <w:szCs w:val="20"/>
        </w:rPr>
        <w:t>At the same time, the Christian counselor must recognize that there are unique qualities to pastoral counseling that are not found in other counseling venues and approaches.</w:t>
      </w:r>
    </w:p>
    <w:p w:rsidR="00104E60" w:rsidRPr="00104E60" w:rsidRDefault="00104E60" w:rsidP="00104E60">
      <w:pPr>
        <w:jc w:val="both"/>
        <w:rPr>
          <w:rFonts w:ascii="Garamond" w:hAnsi="Garamond"/>
          <w:sz w:val="20"/>
          <w:szCs w:val="20"/>
        </w:rPr>
      </w:pPr>
      <w:r w:rsidRPr="00104E60">
        <w:rPr>
          <w:rFonts w:ascii="Garamond" w:hAnsi="Garamond"/>
          <w:sz w:val="20"/>
          <w:szCs w:val="20"/>
        </w:rPr>
        <w:t> </w:t>
      </w:r>
    </w:p>
    <w:p w:rsidR="00857E9A" w:rsidRPr="00104E60" w:rsidRDefault="00857E9A" w:rsidP="00104E60">
      <w:pPr>
        <w:jc w:val="both"/>
        <w:rPr>
          <w:rFonts w:ascii="Garamond" w:hAnsi="Garamond"/>
          <w:sz w:val="20"/>
          <w:szCs w:val="20"/>
        </w:rPr>
      </w:pPr>
      <w:bookmarkStart w:id="0" w:name="_GoBack"/>
      <w:bookmarkEnd w:id="0"/>
    </w:p>
    <w:sectPr w:rsidR="00857E9A" w:rsidRPr="00104E60" w:rsidSect="00AD30C5">
      <w:footerReference w:type="default" r:id="rId8"/>
      <w:pgSz w:w="12240" w:h="15840"/>
      <w:pgMar w:top="1080" w:right="1080" w:bottom="1080" w:left="108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E60" w:rsidRDefault="00104E60" w:rsidP="00857E9A">
      <w:r>
        <w:separator/>
      </w:r>
    </w:p>
  </w:endnote>
  <w:endnote w:type="continuationSeparator" w:id="0">
    <w:p w:rsidR="00104E60" w:rsidRDefault="00104E60" w:rsidP="0085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2AEF" w:usb1="D000A1FF" w:usb2="00000038"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9A" w:rsidRPr="00857E9A" w:rsidRDefault="00857E9A" w:rsidP="00857E9A">
    <w:pPr>
      <w:pStyle w:val="Footer"/>
      <w:tabs>
        <w:tab w:val="clear" w:pos="4320"/>
        <w:tab w:val="clear" w:pos="8640"/>
        <w:tab w:val="left" w:pos="4431"/>
        <w:tab w:val="left" w:pos="5040"/>
        <w:tab w:val="right" w:pos="10080"/>
      </w:tabs>
      <w:rPr>
        <w:rFonts w:ascii="Garamond" w:hAnsi="Garamond"/>
        <w:sz w:val="16"/>
        <w:szCs w:val="16"/>
      </w:rPr>
    </w:pPr>
    <w:r w:rsidRPr="00857E9A">
      <w:rPr>
        <w:rFonts w:ascii="Garamond" w:hAnsi="Garamond"/>
        <w:noProof/>
        <w:sz w:val="16"/>
        <w:szCs w:val="16"/>
      </w:rPr>
      <w:drawing>
        <wp:anchor distT="0" distB="0" distL="114300" distR="114300" simplePos="0" relativeHeight="251658240" behindDoc="0" locked="0" layoutInCell="1" allowOverlap="1" wp14:anchorId="44AF1F3A" wp14:editId="0D4DCF69">
          <wp:simplePos x="0" y="0"/>
          <wp:positionH relativeFrom="column">
            <wp:posOffset>5603240</wp:posOffset>
          </wp:positionH>
          <wp:positionV relativeFrom="paragraph">
            <wp:posOffset>-149225</wp:posOffset>
          </wp:positionV>
          <wp:extent cx="911860" cy="373428"/>
          <wp:effectExtent l="0" t="0" r="254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shLogoFinal_Black.jpg"/>
                  <pic:cNvPicPr/>
                </pic:nvPicPr>
                <pic:blipFill>
                  <a:blip r:embed="rId1">
                    <a:extLst>
                      <a:ext uri="{28A0092B-C50C-407E-A947-70E740481C1C}">
                        <a14:useLocalDpi xmlns:a14="http://schemas.microsoft.com/office/drawing/2010/main" val="0"/>
                      </a:ext>
                    </a:extLst>
                  </a:blip>
                  <a:stretch>
                    <a:fillRect/>
                  </a:stretch>
                </pic:blipFill>
                <pic:spPr>
                  <a:xfrm>
                    <a:off x="0" y="0"/>
                    <a:ext cx="911860" cy="373428"/>
                  </a:xfrm>
                  <a:prstGeom prst="rect">
                    <a:avLst/>
                  </a:prstGeom>
                </pic:spPr>
              </pic:pic>
            </a:graphicData>
          </a:graphic>
          <wp14:sizeRelH relativeFrom="page">
            <wp14:pctWidth>0</wp14:pctWidth>
          </wp14:sizeRelH>
          <wp14:sizeRelV relativeFrom="page">
            <wp14:pctHeight>0</wp14:pctHeight>
          </wp14:sizeRelV>
        </wp:anchor>
      </w:drawing>
    </w:r>
    <w:r w:rsidRPr="00857E9A">
      <w:rPr>
        <w:rFonts w:ascii="Garamond" w:hAnsi="Garamond"/>
        <w:sz w:val="16"/>
        <w:szCs w:val="16"/>
      </w:rPr>
      <w:fldChar w:fldCharType="begin"/>
    </w:r>
    <w:r w:rsidRPr="00857E9A">
      <w:rPr>
        <w:rFonts w:ascii="Garamond" w:hAnsi="Garamond"/>
        <w:sz w:val="16"/>
        <w:szCs w:val="16"/>
      </w:rPr>
      <w:instrText xml:space="preserve"> TIME \@ "d MMMM yyyy" </w:instrText>
    </w:r>
    <w:r w:rsidRPr="00857E9A">
      <w:rPr>
        <w:rFonts w:ascii="Garamond" w:hAnsi="Garamond"/>
        <w:sz w:val="16"/>
        <w:szCs w:val="16"/>
      </w:rPr>
      <w:fldChar w:fldCharType="separate"/>
    </w:r>
    <w:r w:rsidR="00104E60">
      <w:rPr>
        <w:rFonts w:ascii="Garamond" w:hAnsi="Garamond"/>
        <w:noProof/>
        <w:sz w:val="16"/>
        <w:szCs w:val="16"/>
      </w:rPr>
      <w:t>28 November 2014</w:t>
    </w:r>
    <w:r w:rsidRPr="00857E9A">
      <w:rPr>
        <w:rFonts w:ascii="Garamond" w:hAnsi="Garamond"/>
        <w:sz w:val="16"/>
        <w:szCs w:val="16"/>
      </w:rPr>
      <w:fldChar w:fldCharType="end"/>
    </w:r>
    <w:r w:rsidRPr="00857E9A">
      <w:rPr>
        <w:rFonts w:ascii="Garamond" w:hAnsi="Garamond"/>
        <w:sz w:val="16"/>
        <w:szCs w:val="16"/>
      </w:rPr>
      <w:tab/>
    </w:r>
    <w:r w:rsidRPr="00857E9A">
      <w:rPr>
        <w:rFonts w:ascii="Garamond" w:hAnsi="Garamond" w:cs="Times New Roman"/>
        <w:sz w:val="16"/>
        <w:szCs w:val="16"/>
      </w:rPr>
      <w:t xml:space="preserve">Page </w:t>
    </w:r>
    <w:r w:rsidRPr="00857E9A">
      <w:rPr>
        <w:rFonts w:ascii="Garamond" w:hAnsi="Garamond" w:cs="Times New Roman"/>
        <w:sz w:val="16"/>
        <w:szCs w:val="16"/>
      </w:rPr>
      <w:fldChar w:fldCharType="begin"/>
    </w:r>
    <w:r w:rsidRPr="00857E9A">
      <w:rPr>
        <w:rFonts w:ascii="Garamond" w:hAnsi="Garamond" w:cs="Times New Roman"/>
        <w:sz w:val="16"/>
        <w:szCs w:val="16"/>
      </w:rPr>
      <w:instrText xml:space="preserve"> PAGE </w:instrText>
    </w:r>
    <w:r w:rsidRPr="00857E9A">
      <w:rPr>
        <w:rFonts w:ascii="Garamond" w:hAnsi="Garamond" w:cs="Times New Roman"/>
        <w:sz w:val="16"/>
        <w:szCs w:val="16"/>
      </w:rPr>
      <w:fldChar w:fldCharType="separate"/>
    </w:r>
    <w:r w:rsidR="00104E60">
      <w:rPr>
        <w:rFonts w:ascii="Garamond" w:hAnsi="Garamond" w:cs="Times New Roman"/>
        <w:noProof/>
        <w:sz w:val="16"/>
        <w:szCs w:val="16"/>
      </w:rPr>
      <w:t>1</w:t>
    </w:r>
    <w:r w:rsidRPr="00857E9A">
      <w:rPr>
        <w:rFonts w:ascii="Garamond" w:hAnsi="Garamond" w:cs="Times New Roman"/>
        <w:sz w:val="16"/>
        <w:szCs w:val="16"/>
      </w:rPr>
      <w:fldChar w:fldCharType="end"/>
    </w:r>
    <w:r w:rsidRPr="00857E9A">
      <w:rPr>
        <w:rFonts w:ascii="Garamond" w:hAnsi="Garamond" w:cs="Times New Roman"/>
        <w:sz w:val="16"/>
        <w:szCs w:val="16"/>
      </w:rPr>
      <w:t xml:space="preserve"> of </w:t>
    </w:r>
    <w:r w:rsidRPr="00857E9A">
      <w:rPr>
        <w:rFonts w:ascii="Garamond" w:hAnsi="Garamond" w:cs="Times New Roman"/>
        <w:sz w:val="16"/>
        <w:szCs w:val="16"/>
      </w:rPr>
      <w:fldChar w:fldCharType="begin"/>
    </w:r>
    <w:r w:rsidRPr="00857E9A">
      <w:rPr>
        <w:rFonts w:ascii="Garamond" w:hAnsi="Garamond" w:cs="Times New Roman"/>
        <w:sz w:val="16"/>
        <w:szCs w:val="16"/>
      </w:rPr>
      <w:instrText xml:space="preserve"> NUMPAGES </w:instrText>
    </w:r>
    <w:r w:rsidRPr="00857E9A">
      <w:rPr>
        <w:rFonts w:ascii="Garamond" w:hAnsi="Garamond" w:cs="Times New Roman"/>
        <w:sz w:val="16"/>
        <w:szCs w:val="16"/>
      </w:rPr>
      <w:fldChar w:fldCharType="separate"/>
    </w:r>
    <w:r w:rsidR="00104E60">
      <w:rPr>
        <w:rFonts w:ascii="Garamond" w:hAnsi="Garamond" w:cs="Times New Roman"/>
        <w:noProof/>
        <w:sz w:val="16"/>
        <w:szCs w:val="16"/>
      </w:rPr>
      <w:t>1</w:t>
    </w:r>
    <w:r w:rsidRPr="00857E9A">
      <w:rPr>
        <w:rFonts w:ascii="Garamond" w:hAnsi="Garamond" w:cs="Times New Roman"/>
        <w:sz w:val="16"/>
        <w:szCs w:val="16"/>
      </w:rPr>
      <w:fldChar w:fldCharType="end"/>
    </w:r>
    <w:r w:rsidRPr="00857E9A">
      <w:rPr>
        <w:rFonts w:ascii="Garamond" w:hAnsi="Garamond" w:cs="Times New Roman"/>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E60" w:rsidRDefault="00104E60" w:rsidP="00857E9A">
      <w:r>
        <w:separator/>
      </w:r>
    </w:p>
  </w:footnote>
  <w:footnote w:type="continuationSeparator" w:id="0">
    <w:p w:rsidR="00104E60" w:rsidRDefault="00104E60" w:rsidP="00857E9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43850"/>
    <w:multiLevelType w:val="hybridMultilevel"/>
    <w:tmpl w:val="32B6E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60"/>
    <w:rsid w:val="00104E60"/>
    <w:rsid w:val="0073113D"/>
    <w:rsid w:val="00857E9A"/>
    <w:rsid w:val="008A4DE5"/>
    <w:rsid w:val="009B0BBA"/>
    <w:rsid w:val="00AD30C5"/>
    <w:rsid w:val="00D80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ACD7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E9A"/>
    <w:pPr>
      <w:ind w:left="720"/>
      <w:contextualSpacing/>
    </w:pPr>
  </w:style>
  <w:style w:type="paragraph" w:styleId="Header">
    <w:name w:val="header"/>
    <w:basedOn w:val="Normal"/>
    <w:link w:val="HeaderChar"/>
    <w:uiPriority w:val="99"/>
    <w:unhideWhenUsed/>
    <w:rsid w:val="00857E9A"/>
    <w:pPr>
      <w:tabs>
        <w:tab w:val="center" w:pos="4320"/>
        <w:tab w:val="right" w:pos="8640"/>
      </w:tabs>
    </w:pPr>
  </w:style>
  <w:style w:type="character" w:customStyle="1" w:styleId="HeaderChar">
    <w:name w:val="Header Char"/>
    <w:basedOn w:val="DefaultParagraphFont"/>
    <w:link w:val="Header"/>
    <w:uiPriority w:val="99"/>
    <w:rsid w:val="00857E9A"/>
  </w:style>
  <w:style w:type="paragraph" w:styleId="Footer">
    <w:name w:val="footer"/>
    <w:basedOn w:val="Normal"/>
    <w:link w:val="FooterChar"/>
    <w:uiPriority w:val="99"/>
    <w:unhideWhenUsed/>
    <w:rsid w:val="00857E9A"/>
    <w:pPr>
      <w:tabs>
        <w:tab w:val="center" w:pos="4320"/>
        <w:tab w:val="right" w:pos="8640"/>
      </w:tabs>
    </w:pPr>
  </w:style>
  <w:style w:type="character" w:customStyle="1" w:styleId="FooterChar">
    <w:name w:val="Footer Char"/>
    <w:basedOn w:val="DefaultParagraphFont"/>
    <w:link w:val="Footer"/>
    <w:uiPriority w:val="99"/>
    <w:rsid w:val="00857E9A"/>
  </w:style>
  <w:style w:type="paragraph" w:styleId="BalloonText">
    <w:name w:val="Balloon Text"/>
    <w:basedOn w:val="Normal"/>
    <w:link w:val="BalloonTextChar"/>
    <w:uiPriority w:val="99"/>
    <w:semiHidden/>
    <w:unhideWhenUsed/>
    <w:rsid w:val="00857E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7E9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E9A"/>
    <w:pPr>
      <w:ind w:left="720"/>
      <w:contextualSpacing/>
    </w:pPr>
  </w:style>
  <w:style w:type="paragraph" w:styleId="Header">
    <w:name w:val="header"/>
    <w:basedOn w:val="Normal"/>
    <w:link w:val="HeaderChar"/>
    <w:uiPriority w:val="99"/>
    <w:unhideWhenUsed/>
    <w:rsid w:val="00857E9A"/>
    <w:pPr>
      <w:tabs>
        <w:tab w:val="center" w:pos="4320"/>
        <w:tab w:val="right" w:pos="8640"/>
      </w:tabs>
    </w:pPr>
  </w:style>
  <w:style w:type="character" w:customStyle="1" w:styleId="HeaderChar">
    <w:name w:val="Header Char"/>
    <w:basedOn w:val="DefaultParagraphFont"/>
    <w:link w:val="Header"/>
    <w:uiPriority w:val="99"/>
    <w:rsid w:val="00857E9A"/>
  </w:style>
  <w:style w:type="paragraph" w:styleId="Footer">
    <w:name w:val="footer"/>
    <w:basedOn w:val="Normal"/>
    <w:link w:val="FooterChar"/>
    <w:uiPriority w:val="99"/>
    <w:unhideWhenUsed/>
    <w:rsid w:val="00857E9A"/>
    <w:pPr>
      <w:tabs>
        <w:tab w:val="center" w:pos="4320"/>
        <w:tab w:val="right" w:pos="8640"/>
      </w:tabs>
    </w:pPr>
  </w:style>
  <w:style w:type="character" w:customStyle="1" w:styleId="FooterChar">
    <w:name w:val="Footer Char"/>
    <w:basedOn w:val="DefaultParagraphFont"/>
    <w:link w:val="Footer"/>
    <w:uiPriority w:val="99"/>
    <w:rsid w:val="00857E9A"/>
  </w:style>
  <w:style w:type="paragraph" w:styleId="BalloonText">
    <w:name w:val="Balloon Text"/>
    <w:basedOn w:val="Normal"/>
    <w:link w:val="BalloonTextChar"/>
    <w:uiPriority w:val="99"/>
    <w:semiHidden/>
    <w:unhideWhenUsed/>
    <w:rsid w:val="00857E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7E9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555001">
      <w:bodyDiv w:val="1"/>
      <w:marLeft w:val="0"/>
      <w:marRight w:val="0"/>
      <w:marTop w:val="0"/>
      <w:marBottom w:val="0"/>
      <w:divBdr>
        <w:top w:val="none" w:sz="0" w:space="0" w:color="auto"/>
        <w:left w:val="none" w:sz="0" w:space="0" w:color="auto"/>
        <w:bottom w:val="none" w:sz="0" w:space="0" w:color="auto"/>
        <w:right w:val="none" w:sz="0" w:space="0" w:color="auto"/>
      </w:divBdr>
    </w:div>
    <w:div w:id="13487489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oshweidmann:Library:Application%20Support:Microsoft:Office:User%20Templates:My%20Templates:Articl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Article .dotx</Template>
  <TotalTime>1</TotalTime>
  <Pages>1</Pages>
  <Words>488</Words>
  <Characters>2782</Characters>
  <Application>Microsoft Macintosh Word</Application>
  <DocSecurity>0</DocSecurity>
  <Lines>23</Lines>
  <Paragraphs>6</Paragraphs>
  <ScaleCrop>false</ScaleCrop>
  <Company>Mission Hills Church</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Weidmann</dc:creator>
  <cp:keywords/>
  <dc:description/>
  <cp:lastModifiedBy>Josh Weidmann</cp:lastModifiedBy>
  <cp:revision>1</cp:revision>
  <dcterms:created xsi:type="dcterms:W3CDTF">2014-11-29T03:59:00Z</dcterms:created>
  <dcterms:modified xsi:type="dcterms:W3CDTF">2014-11-29T04:00:00Z</dcterms:modified>
</cp:coreProperties>
</file>