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1A5" w:rsidRDefault="003F51A5" w:rsidP="00835985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jc w:val="right"/>
        <w:rPr>
          <w:sz w:val="28"/>
          <w:szCs w:val="28"/>
        </w:rPr>
      </w:pPr>
    </w:p>
    <w:tbl>
      <w:tblPr>
        <w:tblStyle w:val="20"/>
        <w:tblpPr w:leftFromText="180" w:rightFromText="180" w:vertAnchor="page" w:horzAnchor="margin" w:tblpXSpec="right" w:tblpY="1104"/>
        <w:tblW w:w="439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4395"/>
      </w:tblGrid>
      <w:tr w:rsidR="0021669E" w:rsidRPr="002B45C5" w:rsidTr="00835985">
        <w:trPr>
          <w:trHeight w:val="1961"/>
        </w:trPr>
        <w:tc>
          <w:tcPr>
            <w:tcW w:w="4395" w:type="dxa"/>
          </w:tcPr>
          <w:p w:rsidR="003F51A5" w:rsidRPr="00395783" w:rsidRDefault="003F51A5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395783">
              <w:rPr>
                <w:b/>
                <w:sz w:val="28"/>
                <w:szCs w:val="28"/>
              </w:rPr>
              <w:t>Приложение №</w:t>
            </w:r>
            <w:r w:rsidR="00FF0B9A" w:rsidRPr="00395783">
              <w:rPr>
                <w:b/>
                <w:sz w:val="28"/>
                <w:szCs w:val="28"/>
              </w:rPr>
              <w:t xml:space="preserve"> </w:t>
            </w:r>
            <w:r w:rsidR="00395783" w:rsidRPr="00395783">
              <w:rPr>
                <w:b/>
                <w:sz w:val="28"/>
                <w:szCs w:val="28"/>
              </w:rPr>
              <w:t>3</w:t>
            </w:r>
          </w:p>
          <w:p w:rsidR="003F51A5" w:rsidRPr="00395783" w:rsidRDefault="003F51A5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95783">
              <w:rPr>
                <w:sz w:val="28"/>
                <w:szCs w:val="28"/>
              </w:rPr>
              <w:t xml:space="preserve">к протоколу заседания </w:t>
            </w:r>
          </w:p>
          <w:p w:rsidR="003F51A5" w:rsidRPr="00395783" w:rsidRDefault="003F51A5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95783">
              <w:rPr>
                <w:sz w:val="28"/>
                <w:szCs w:val="28"/>
              </w:rPr>
              <w:t xml:space="preserve">Коллегиального Совета </w:t>
            </w:r>
          </w:p>
          <w:p w:rsidR="003F51A5" w:rsidRPr="00395783" w:rsidRDefault="003F51A5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95783">
              <w:rPr>
                <w:sz w:val="28"/>
                <w:szCs w:val="28"/>
              </w:rPr>
              <w:t xml:space="preserve">НКО «Гарантийный фонд РО» </w:t>
            </w:r>
          </w:p>
          <w:p w:rsidR="0021669E" w:rsidRPr="00395783" w:rsidRDefault="003F51A5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sz w:val="28"/>
                <w:szCs w:val="28"/>
              </w:rPr>
            </w:pPr>
            <w:r w:rsidRPr="00395783">
              <w:rPr>
                <w:sz w:val="28"/>
                <w:szCs w:val="28"/>
              </w:rPr>
              <w:t xml:space="preserve">от </w:t>
            </w:r>
            <w:r w:rsidR="003105B1" w:rsidRPr="00395783">
              <w:rPr>
                <w:sz w:val="28"/>
                <w:szCs w:val="28"/>
              </w:rPr>
              <w:t>«</w:t>
            </w:r>
            <w:r w:rsidR="00395783" w:rsidRPr="00395783">
              <w:rPr>
                <w:sz w:val="28"/>
                <w:szCs w:val="28"/>
              </w:rPr>
              <w:t>21</w:t>
            </w:r>
            <w:r w:rsidR="003105B1" w:rsidRPr="00395783">
              <w:rPr>
                <w:sz w:val="28"/>
                <w:szCs w:val="28"/>
              </w:rPr>
              <w:t xml:space="preserve">» </w:t>
            </w:r>
            <w:r w:rsidR="00395783" w:rsidRPr="00395783">
              <w:rPr>
                <w:sz w:val="28"/>
                <w:szCs w:val="28"/>
              </w:rPr>
              <w:t xml:space="preserve">сентября </w:t>
            </w:r>
            <w:r w:rsidR="00FF0B9A" w:rsidRPr="00395783">
              <w:rPr>
                <w:sz w:val="28"/>
                <w:szCs w:val="28"/>
              </w:rPr>
              <w:t>2</w:t>
            </w:r>
            <w:r w:rsidRPr="00395783">
              <w:rPr>
                <w:sz w:val="28"/>
                <w:szCs w:val="28"/>
              </w:rPr>
              <w:t>0</w:t>
            </w:r>
            <w:r w:rsidR="00DF19E4" w:rsidRPr="00395783">
              <w:rPr>
                <w:sz w:val="28"/>
                <w:szCs w:val="28"/>
              </w:rPr>
              <w:t>2</w:t>
            </w:r>
            <w:r w:rsidR="00977D22" w:rsidRPr="00395783">
              <w:rPr>
                <w:sz w:val="28"/>
                <w:szCs w:val="28"/>
              </w:rPr>
              <w:t>1</w:t>
            </w:r>
            <w:r w:rsidRPr="00395783">
              <w:rPr>
                <w:sz w:val="28"/>
                <w:szCs w:val="28"/>
              </w:rPr>
              <w:t xml:space="preserve"> г. № </w:t>
            </w:r>
            <w:r w:rsidR="00395783" w:rsidRPr="00395783">
              <w:rPr>
                <w:sz w:val="28"/>
                <w:szCs w:val="28"/>
              </w:rPr>
              <w:t>101</w:t>
            </w:r>
          </w:p>
          <w:p w:rsidR="00646FCA" w:rsidRPr="00395783" w:rsidRDefault="00646FCA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right"/>
            </w:pPr>
            <w:r w:rsidRPr="00395783">
              <w:rPr>
                <w:sz w:val="28"/>
                <w:szCs w:val="28"/>
              </w:rPr>
              <w:t xml:space="preserve"> </w:t>
            </w:r>
          </w:p>
        </w:tc>
      </w:tr>
    </w:tbl>
    <w:p w:rsidR="00CE71AB" w:rsidRPr="002B45C5" w:rsidRDefault="00CE71AB">
      <w:pPr>
        <w:jc w:val="center"/>
        <w:rPr>
          <w:b/>
          <w:sz w:val="28"/>
          <w:szCs w:val="28"/>
        </w:rPr>
      </w:pPr>
    </w:p>
    <w:p w:rsidR="002F3C37" w:rsidRPr="002B45C5" w:rsidRDefault="002F3C37">
      <w:pPr>
        <w:jc w:val="center"/>
        <w:rPr>
          <w:b/>
          <w:sz w:val="28"/>
          <w:szCs w:val="28"/>
        </w:rPr>
      </w:pPr>
    </w:p>
    <w:p w:rsidR="002F3C37" w:rsidRPr="002B45C5" w:rsidRDefault="002F3C37">
      <w:pPr>
        <w:jc w:val="center"/>
        <w:rPr>
          <w:b/>
          <w:sz w:val="28"/>
          <w:szCs w:val="28"/>
        </w:rPr>
      </w:pPr>
    </w:p>
    <w:p w:rsidR="002F3C37" w:rsidRPr="002B45C5" w:rsidRDefault="002F3C37">
      <w:pPr>
        <w:jc w:val="center"/>
        <w:rPr>
          <w:b/>
          <w:sz w:val="28"/>
          <w:szCs w:val="28"/>
        </w:rPr>
      </w:pPr>
    </w:p>
    <w:p w:rsidR="002F3C37" w:rsidRPr="002B45C5" w:rsidRDefault="002F3C37">
      <w:pPr>
        <w:jc w:val="center"/>
        <w:rPr>
          <w:b/>
          <w:sz w:val="28"/>
          <w:szCs w:val="28"/>
        </w:rPr>
      </w:pPr>
    </w:p>
    <w:p w:rsidR="002F3C37" w:rsidRPr="002B45C5" w:rsidRDefault="002F3C37">
      <w:pPr>
        <w:jc w:val="center"/>
        <w:rPr>
          <w:b/>
          <w:sz w:val="28"/>
          <w:szCs w:val="28"/>
        </w:rPr>
      </w:pPr>
    </w:p>
    <w:p w:rsidR="006F4D6E" w:rsidRPr="002B45C5" w:rsidRDefault="006F4D6E" w:rsidP="006F4D6E">
      <w:pPr>
        <w:spacing w:line="276" w:lineRule="auto"/>
        <w:jc w:val="center"/>
        <w:rPr>
          <w:b/>
          <w:sz w:val="32"/>
          <w:szCs w:val="32"/>
        </w:rPr>
      </w:pPr>
    </w:p>
    <w:p w:rsidR="006F4D6E" w:rsidRPr="002B45C5" w:rsidRDefault="006F4D6E" w:rsidP="006F4D6E">
      <w:pPr>
        <w:spacing w:line="276" w:lineRule="auto"/>
        <w:jc w:val="center"/>
        <w:rPr>
          <w:b/>
          <w:sz w:val="32"/>
          <w:szCs w:val="32"/>
        </w:rPr>
      </w:pPr>
    </w:p>
    <w:p w:rsidR="006F4D6E" w:rsidRPr="002B45C5" w:rsidRDefault="006F4D6E" w:rsidP="006F4D6E">
      <w:pPr>
        <w:spacing w:line="276" w:lineRule="auto"/>
        <w:jc w:val="center"/>
        <w:rPr>
          <w:b/>
          <w:sz w:val="32"/>
          <w:szCs w:val="32"/>
        </w:rPr>
      </w:pPr>
    </w:p>
    <w:p w:rsidR="0021669E" w:rsidRPr="002B45C5" w:rsidRDefault="0021669E" w:rsidP="006F4D6E">
      <w:pPr>
        <w:spacing w:line="276" w:lineRule="auto"/>
        <w:jc w:val="center"/>
        <w:rPr>
          <w:b/>
          <w:sz w:val="32"/>
          <w:szCs w:val="32"/>
        </w:rPr>
      </w:pPr>
    </w:p>
    <w:p w:rsidR="0021669E" w:rsidRPr="002B45C5" w:rsidRDefault="0021669E" w:rsidP="006F4D6E">
      <w:pPr>
        <w:spacing w:line="276" w:lineRule="auto"/>
        <w:jc w:val="center"/>
        <w:rPr>
          <w:b/>
          <w:sz w:val="32"/>
          <w:szCs w:val="32"/>
        </w:rPr>
      </w:pPr>
    </w:p>
    <w:p w:rsidR="0021669E" w:rsidRPr="002B45C5" w:rsidRDefault="0021669E" w:rsidP="006F4D6E">
      <w:pPr>
        <w:spacing w:line="276" w:lineRule="auto"/>
        <w:jc w:val="center"/>
        <w:rPr>
          <w:b/>
          <w:sz w:val="32"/>
          <w:szCs w:val="32"/>
        </w:rPr>
      </w:pPr>
    </w:p>
    <w:p w:rsidR="0021669E" w:rsidRPr="002B45C5" w:rsidRDefault="0021669E" w:rsidP="006F4D6E">
      <w:pPr>
        <w:spacing w:line="276" w:lineRule="auto"/>
        <w:jc w:val="center"/>
        <w:rPr>
          <w:b/>
          <w:sz w:val="32"/>
          <w:szCs w:val="32"/>
        </w:rPr>
      </w:pPr>
    </w:p>
    <w:p w:rsidR="0021669E" w:rsidRPr="002B45C5" w:rsidRDefault="0021669E" w:rsidP="006F4D6E">
      <w:pPr>
        <w:spacing w:line="276" w:lineRule="auto"/>
        <w:jc w:val="center"/>
        <w:rPr>
          <w:b/>
          <w:sz w:val="32"/>
          <w:szCs w:val="32"/>
        </w:rPr>
      </w:pPr>
    </w:p>
    <w:p w:rsidR="00DF19E4" w:rsidRPr="006A213D" w:rsidRDefault="00034EF7" w:rsidP="007229ED">
      <w:pPr>
        <w:spacing w:line="360" w:lineRule="auto"/>
        <w:jc w:val="center"/>
        <w:rPr>
          <w:b/>
          <w:sz w:val="32"/>
          <w:szCs w:val="32"/>
        </w:rPr>
      </w:pPr>
      <w:r w:rsidRPr="006A213D">
        <w:rPr>
          <w:b/>
          <w:sz w:val="32"/>
          <w:szCs w:val="32"/>
        </w:rPr>
        <w:t xml:space="preserve">Порядок расчета </w:t>
      </w:r>
      <w:r w:rsidR="00E300DB" w:rsidRPr="006A213D">
        <w:rPr>
          <w:b/>
          <w:sz w:val="32"/>
          <w:szCs w:val="32"/>
        </w:rPr>
        <w:t>и оплаты</w:t>
      </w:r>
    </w:p>
    <w:p w:rsidR="007229ED" w:rsidRPr="006A213D" w:rsidRDefault="00034EF7" w:rsidP="007229ED">
      <w:pPr>
        <w:spacing w:line="360" w:lineRule="auto"/>
        <w:jc w:val="center"/>
        <w:rPr>
          <w:b/>
          <w:sz w:val="32"/>
          <w:szCs w:val="32"/>
        </w:rPr>
      </w:pPr>
      <w:r w:rsidRPr="006A213D">
        <w:rPr>
          <w:b/>
          <w:sz w:val="32"/>
          <w:szCs w:val="32"/>
        </w:rPr>
        <w:t>вознаграждения</w:t>
      </w:r>
      <w:r w:rsidR="0079546A" w:rsidRPr="006A213D">
        <w:rPr>
          <w:b/>
          <w:sz w:val="32"/>
          <w:szCs w:val="32"/>
        </w:rPr>
        <w:t xml:space="preserve"> </w:t>
      </w:r>
      <w:r w:rsidR="007229ED" w:rsidRPr="006A213D">
        <w:rPr>
          <w:b/>
          <w:sz w:val="32"/>
          <w:szCs w:val="32"/>
        </w:rPr>
        <w:t>за поручительств</w:t>
      </w:r>
      <w:r w:rsidR="00E300DB" w:rsidRPr="006A213D">
        <w:rPr>
          <w:b/>
          <w:sz w:val="32"/>
          <w:szCs w:val="32"/>
        </w:rPr>
        <w:t>о, предоставленное</w:t>
      </w:r>
    </w:p>
    <w:p w:rsidR="007229ED" w:rsidRPr="002B45C5" w:rsidRDefault="00C53904" w:rsidP="007229ED">
      <w:pPr>
        <w:spacing w:line="360" w:lineRule="auto"/>
        <w:jc w:val="center"/>
        <w:rPr>
          <w:b/>
          <w:sz w:val="32"/>
          <w:szCs w:val="32"/>
        </w:rPr>
      </w:pPr>
      <w:r w:rsidRPr="006A213D">
        <w:rPr>
          <w:b/>
          <w:sz w:val="32"/>
          <w:szCs w:val="32"/>
        </w:rPr>
        <w:t>Н</w:t>
      </w:r>
      <w:r w:rsidR="007229ED" w:rsidRPr="006A213D">
        <w:rPr>
          <w:b/>
          <w:sz w:val="32"/>
          <w:szCs w:val="32"/>
        </w:rPr>
        <w:t>екоммерческой организаци</w:t>
      </w:r>
      <w:r w:rsidR="003F51A5" w:rsidRPr="006A213D">
        <w:rPr>
          <w:b/>
          <w:sz w:val="32"/>
          <w:szCs w:val="32"/>
        </w:rPr>
        <w:t>ей</w:t>
      </w:r>
    </w:p>
    <w:p w:rsidR="00AB3DAC" w:rsidRPr="002B45C5" w:rsidRDefault="00034EF7" w:rsidP="007229ED">
      <w:pPr>
        <w:spacing w:line="360" w:lineRule="auto"/>
        <w:jc w:val="center"/>
        <w:rPr>
          <w:b/>
          <w:sz w:val="32"/>
          <w:szCs w:val="32"/>
        </w:rPr>
      </w:pPr>
      <w:r w:rsidRPr="002B45C5">
        <w:rPr>
          <w:b/>
          <w:sz w:val="32"/>
          <w:szCs w:val="32"/>
        </w:rPr>
        <w:t xml:space="preserve">«Гарантийный фонд </w:t>
      </w:r>
      <w:r w:rsidR="007229ED" w:rsidRPr="002B45C5">
        <w:rPr>
          <w:b/>
          <w:sz w:val="32"/>
          <w:szCs w:val="32"/>
        </w:rPr>
        <w:t>Ростовской области</w:t>
      </w:r>
      <w:r w:rsidRPr="002B45C5">
        <w:rPr>
          <w:b/>
          <w:sz w:val="32"/>
          <w:szCs w:val="32"/>
        </w:rPr>
        <w:t>»</w:t>
      </w:r>
    </w:p>
    <w:p w:rsidR="006F4D6E" w:rsidRPr="002B45C5" w:rsidRDefault="00230A17" w:rsidP="00230A17">
      <w:pPr>
        <w:tabs>
          <w:tab w:val="left" w:pos="4378"/>
        </w:tabs>
        <w:spacing w:line="360" w:lineRule="auto"/>
        <w:rPr>
          <w:sz w:val="32"/>
          <w:szCs w:val="32"/>
        </w:rPr>
      </w:pPr>
      <w:r w:rsidRPr="002B45C5">
        <w:rPr>
          <w:sz w:val="32"/>
          <w:szCs w:val="32"/>
        </w:rPr>
        <w:tab/>
      </w: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21669E" w:rsidRPr="002B45C5" w:rsidRDefault="0021669E" w:rsidP="004478D8">
      <w:pPr>
        <w:spacing w:line="276" w:lineRule="auto"/>
        <w:rPr>
          <w:sz w:val="32"/>
          <w:szCs w:val="32"/>
        </w:rPr>
      </w:pPr>
    </w:p>
    <w:p w:rsidR="0021669E" w:rsidRPr="002B45C5" w:rsidRDefault="0021669E" w:rsidP="004478D8">
      <w:pPr>
        <w:spacing w:line="276" w:lineRule="auto"/>
        <w:rPr>
          <w:sz w:val="32"/>
          <w:szCs w:val="32"/>
        </w:rPr>
      </w:pPr>
    </w:p>
    <w:p w:rsidR="00E54CCE" w:rsidRPr="002B45C5" w:rsidRDefault="00E54CCE" w:rsidP="004478D8">
      <w:pPr>
        <w:spacing w:line="276" w:lineRule="auto"/>
        <w:rPr>
          <w:sz w:val="32"/>
          <w:szCs w:val="32"/>
        </w:rPr>
      </w:pPr>
    </w:p>
    <w:p w:rsidR="00C53904" w:rsidRDefault="00C53904" w:rsidP="004478D8">
      <w:pPr>
        <w:spacing w:line="276" w:lineRule="auto"/>
        <w:rPr>
          <w:sz w:val="32"/>
          <w:szCs w:val="32"/>
        </w:rPr>
      </w:pPr>
    </w:p>
    <w:p w:rsidR="002B7BDF" w:rsidRPr="002B45C5" w:rsidRDefault="002B7BDF" w:rsidP="004478D8">
      <w:pPr>
        <w:spacing w:line="276" w:lineRule="auto"/>
        <w:rPr>
          <w:sz w:val="32"/>
          <w:szCs w:val="32"/>
        </w:rPr>
      </w:pPr>
    </w:p>
    <w:p w:rsidR="0021669E" w:rsidRPr="002B45C5" w:rsidRDefault="00C0157D" w:rsidP="00C0157D">
      <w:pPr>
        <w:spacing w:line="276" w:lineRule="auto"/>
        <w:jc w:val="center"/>
        <w:rPr>
          <w:sz w:val="28"/>
          <w:szCs w:val="28"/>
        </w:rPr>
      </w:pPr>
      <w:r w:rsidRPr="002B45C5">
        <w:rPr>
          <w:sz w:val="28"/>
          <w:szCs w:val="28"/>
        </w:rPr>
        <w:t>г. Ростов - на - Дону</w:t>
      </w:r>
    </w:p>
    <w:p w:rsidR="0021669E" w:rsidRPr="002B45C5" w:rsidRDefault="0021669E" w:rsidP="004478D8">
      <w:pPr>
        <w:spacing w:line="276" w:lineRule="auto"/>
      </w:pPr>
    </w:p>
    <w:p w:rsidR="0058226A" w:rsidRDefault="0058226A" w:rsidP="003F563C">
      <w:pPr>
        <w:spacing w:line="480" w:lineRule="auto"/>
        <w:rPr>
          <w:sz w:val="28"/>
          <w:szCs w:val="28"/>
        </w:rPr>
      </w:pPr>
    </w:p>
    <w:p w:rsidR="006F4D6E" w:rsidRPr="00B5459D" w:rsidRDefault="006F4D6E" w:rsidP="003F563C">
      <w:pPr>
        <w:spacing w:line="480" w:lineRule="auto"/>
        <w:rPr>
          <w:sz w:val="28"/>
          <w:szCs w:val="28"/>
        </w:rPr>
      </w:pPr>
      <w:r w:rsidRPr="00B5459D">
        <w:rPr>
          <w:sz w:val="28"/>
          <w:szCs w:val="28"/>
        </w:rPr>
        <w:lastRenderedPageBreak/>
        <w:t>ОГЛАВЛЕНИЕ</w:t>
      </w:r>
    </w:p>
    <w:tbl>
      <w:tblPr>
        <w:tblW w:w="10348" w:type="dxa"/>
        <w:tblInd w:w="108" w:type="dxa"/>
        <w:tblLook w:val="0000" w:firstRow="0" w:lastRow="0" w:firstColumn="0" w:lastColumn="0" w:noHBand="0" w:noVBand="0"/>
      </w:tblPr>
      <w:tblGrid>
        <w:gridCol w:w="551"/>
        <w:gridCol w:w="9113"/>
        <w:gridCol w:w="684"/>
      </w:tblGrid>
      <w:tr w:rsidR="004E1C44" w:rsidRPr="00B5459D" w:rsidTr="00835985">
        <w:trPr>
          <w:trHeight w:hRule="exact" w:val="567"/>
        </w:trPr>
        <w:tc>
          <w:tcPr>
            <w:tcW w:w="551" w:type="dxa"/>
          </w:tcPr>
          <w:p w:rsidR="004E1C44" w:rsidRPr="00B5459D" w:rsidRDefault="004E1C44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9113" w:type="dxa"/>
          </w:tcPr>
          <w:p w:rsidR="004E1C44" w:rsidRPr="00B5459D" w:rsidRDefault="004E1C44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>Общие положения</w:t>
            </w:r>
            <w:r w:rsidR="00720F18" w:rsidRPr="00B5459D">
              <w:rPr>
                <w:sz w:val="28"/>
                <w:szCs w:val="28"/>
              </w:rPr>
              <w:t xml:space="preserve"> ……………………………………………………………</w:t>
            </w:r>
          </w:p>
        </w:tc>
        <w:tc>
          <w:tcPr>
            <w:tcW w:w="684" w:type="dxa"/>
          </w:tcPr>
          <w:p w:rsidR="004E1C44" w:rsidRPr="00B5459D" w:rsidRDefault="004E1C44" w:rsidP="00835985">
            <w:pP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3</w:t>
            </w:r>
          </w:p>
        </w:tc>
      </w:tr>
      <w:tr w:rsidR="004E1C44" w:rsidRPr="00B5459D" w:rsidTr="00835985">
        <w:trPr>
          <w:trHeight w:hRule="exact" w:val="781"/>
        </w:trPr>
        <w:tc>
          <w:tcPr>
            <w:tcW w:w="551" w:type="dxa"/>
          </w:tcPr>
          <w:p w:rsidR="004E1C44" w:rsidRPr="00B5459D" w:rsidRDefault="004E1C44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9113" w:type="dxa"/>
          </w:tcPr>
          <w:p w:rsidR="004E1C44" w:rsidRPr="00B5459D" w:rsidRDefault="00F57C60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>Формула для расчета суммы вознаграждения за поручительство</w:t>
            </w:r>
            <w:r w:rsidR="002B7BDF">
              <w:rPr>
                <w:sz w:val="28"/>
                <w:szCs w:val="28"/>
              </w:rPr>
              <w:t>…………</w:t>
            </w:r>
          </w:p>
        </w:tc>
        <w:tc>
          <w:tcPr>
            <w:tcW w:w="684" w:type="dxa"/>
          </w:tcPr>
          <w:p w:rsidR="00E90EB5" w:rsidRPr="00B5459D" w:rsidRDefault="00E90EB5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3</w:t>
            </w:r>
          </w:p>
        </w:tc>
      </w:tr>
      <w:tr w:rsidR="00E90EB5" w:rsidRPr="00B5459D" w:rsidTr="00835985">
        <w:trPr>
          <w:trHeight w:hRule="exact" w:val="977"/>
        </w:trPr>
        <w:tc>
          <w:tcPr>
            <w:tcW w:w="551" w:type="dxa"/>
          </w:tcPr>
          <w:p w:rsidR="00E90EB5" w:rsidRPr="00B5459D" w:rsidRDefault="00E90EB5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9113" w:type="dxa"/>
          </w:tcPr>
          <w:p w:rsidR="00E90EB5" w:rsidRPr="00B5459D" w:rsidRDefault="00F57C60" w:rsidP="00835985">
            <w:pPr>
              <w:tabs>
                <w:tab w:val="left" w:pos="3119"/>
                <w:tab w:val="left" w:pos="3261"/>
                <w:tab w:val="left" w:pos="3544"/>
                <w:tab w:val="left" w:pos="4253"/>
                <w:tab w:val="left" w:pos="4395"/>
              </w:tabs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>Ставки вознаграждения за предоставление поручительства Фонда</w:t>
            </w:r>
            <w:r w:rsidR="00665A65" w:rsidRPr="00B5459D">
              <w:rPr>
                <w:sz w:val="28"/>
                <w:szCs w:val="28"/>
              </w:rPr>
              <w:t>, порядок оплаты вознаграждения</w:t>
            </w:r>
            <w:r w:rsidR="00720F18" w:rsidRPr="00B5459D">
              <w:rPr>
                <w:sz w:val="28"/>
                <w:szCs w:val="28"/>
              </w:rPr>
              <w:t xml:space="preserve"> …………………………………………</w:t>
            </w:r>
            <w:r w:rsidR="002B7BDF">
              <w:rPr>
                <w:sz w:val="28"/>
                <w:szCs w:val="28"/>
              </w:rPr>
              <w:t>…</w:t>
            </w:r>
          </w:p>
        </w:tc>
        <w:tc>
          <w:tcPr>
            <w:tcW w:w="684" w:type="dxa"/>
          </w:tcPr>
          <w:p w:rsidR="00E90EB5" w:rsidRPr="00B5459D" w:rsidRDefault="00F57C60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3</w:t>
            </w:r>
          </w:p>
        </w:tc>
      </w:tr>
      <w:tr w:rsidR="00E90EB5" w:rsidRPr="00B5459D" w:rsidTr="00835985">
        <w:trPr>
          <w:trHeight w:hRule="exact" w:val="847"/>
        </w:trPr>
        <w:tc>
          <w:tcPr>
            <w:tcW w:w="551" w:type="dxa"/>
          </w:tcPr>
          <w:p w:rsidR="00E90EB5" w:rsidRPr="00B5459D" w:rsidRDefault="00665A65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4</w:t>
            </w:r>
            <w:r w:rsidR="00E90EB5" w:rsidRPr="00B54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13" w:type="dxa"/>
          </w:tcPr>
          <w:p w:rsidR="00F57C60" w:rsidRPr="00B5459D" w:rsidRDefault="00F57C60" w:rsidP="00835985">
            <w:pPr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 xml:space="preserve">Ставки вознаграждения за пролонгацию договора поручительства, </w:t>
            </w:r>
          </w:p>
          <w:p w:rsidR="00E90EB5" w:rsidRPr="00B5459D" w:rsidRDefault="00720F18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line="360" w:lineRule="auto"/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>порядок оплаты вознаграждения …………………………………………</w:t>
            </w:r>
            <w:r w:rsidR="002B7BDF">
              <w:rPr>
                <w:sz w:val="28"/>
                <w:szCs w:val="28"/>
              </w:rPr>
              <w:t>..</w:t>
            </w:r>
            <w:r w:rsidRPr="00B5459D">
              <w:rPr>
                <w:sz w:val="28"/>
                <w:szCs w:val="28"/>
              </w:rPr>
              <w:t>.</w:t>
            </w:r>
          </w:p>
        </w:tc>
        <w:tc>
          <w:tcPr>
            <w:tcW w:w="684" w:type="dxa"/>
          </w:tcPr>
          <w:p w:rsidR="00E90EB5" w:rsidRPr="00B5459D" w:rsidRDefault="000D3840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  <w:tr w:rsidR="00E90EB5" w:rsidRPr="00720F18" w:rsidTr="00835985">
        <w:trPr>
          <w:trHeight w:hRule="exact" w:val="567"/>
        </w:trPr>
        <w:tc>
          <w:tcPr>
            <w:tcW w:w="551" w:type="dxa"/>
          </w:tcPr>
          <w:p w:rsidR="00E90EB5" w:rsidRPr="00B5459D" w:rsidRDefault="00665A65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 w:rsidRPr="00B5459D">
              <w:rPr>
                <w:b/>
                <w:sz w:val="28"/>
                <w:szCs w:val="28"/>
              </w:rPr>
              <w:t>5</w:t>
            </w:r>
            <w:r w:rsidR="00E90EB5" w:rsidRPr="00B5459D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9113" w:type="dxa"/>
          </w:tcPr>
          <w:p w:rsidR="00E90EB5" w:rsidRPr="00B5459D" w:rsidRDefault="00720F18" w:rsidP="00835985">
            <w:pPr>
              <w:spacing w:line="360" w:lineRule="auto"/>
              <w:rPr>
                <w:sz w:val="28"/>
                <w:szCs w:val="28"/>
              </w:rPr>
            </w:pPr>
            <w:r w:rsidRPr="00B5459D">
              <w:rPr>
                <w:sz w:val="28"/>
                <w:szCs w:val="28"/>
              </w:rPr>
              <w:t>Заключительные положения ……………………………………………</w:t>
            </w:r>
            <w:r w:rsidR="002B7BDF">
              <w:rPr>
                <w:sz w:val="28"/>
                <w:szCs w:val="28"/>
              </w:rPr>
              <w:t>..</w:t>
            </w:r>
            <w:r w:rsidRPr="00B5459D">
              <w:rPr>
                <w:sz w:val="28"/>
                <w:szCs w:val="28"/>
              </w:rPr>
              <w:t>….</w:t>
            </w:r>
          </w:p>
        </w:tc>
        <w:tc>
          <w:tcPr>
            <w:tcW w:w="684" w:type="dxa"/>
          </w:tcPr>
          <w:p w:rsidR="005B363D" w:rsidRPr="00720F18" w:rsidRDefault="002B7BDF" w:rsidP="00835985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</w:tr>
    </w:tbl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4E1C44" w:rsidRPr="002B45C5" w:rsidRDefault="004E1C44" w:rsidP="003F563C">
      <w:pPr>
        <w:spacing w:line="480" w:lineRule="auto"/>
        <w:rPr>
          <w:sz w:val="28"/>
          <w:szCs w:val="28"/>
        </w:rPr>
      </w:pPr>
    </w:p>
    <w:p w:rsidR="00B62843" w:rsidRPr="002B45C5" w:rsidRDefault="00B62843" w:rsidP="004478D8">
      <w:pPr>
        <w:spacing w:line="276" w:lineRule="auto"/>
        <w:rPr>
          <w:sz w:val="32"/>
          <w:szCs w:val="32"/>
        </w:rPr>
      </w:pPr>
    </w:p>
    <w:p w:rsidR="00B62843" w:rsidRPr="002B45C5" w:rsidRDefault="00B62843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6F4D6E" w:rsidRPr="002B45C5" w:rsidRDefault="006F4D6E" w:rsidP="004478D8">
      <w:pPr>
        <w:spacing w:line="276" w:lineRule="auto"/>
        <w:rPr>
          <w:sz w:val="32"/>
          <w:szCs w:val="32"/>
        </w:rPr>
      </w:pPr>
    </w:p>
    <w:p w:rsidR="00AB3DAC" w:rsidRPr="002B45C5" w:rsidRDefault="00AB3DAC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6F4D6E" w:rsidRPr="002B45C5" w:rsidRDefault="006F4D6E"/>
    <w:p w:rsidR="004332C0" w:rsidRPr="002B45C5" w:rsidRDefault="004332C0"/>
    <w:p w:rsidR="0052797D" w:rsidRPr="002B45C5" w:rsidRDefault="0052797D"/>
    <w:p w:rsidR="0052797D" w:rsidRPr="002B45C5" w:rsidRDefault="0052797D"/>
    <w:p w:rsidR="0052797D" w:rsidRDefault="0052797D"/>
    <w:p w:rsidR="00D55522" w:rsidRDefault="00D55522"/>
    <w:p w:rsidR="00D55522" w:rsidRDefault="00D55522"/>
    <w:p w:rsidR="005D2010" w:rsidRDefault="005D2010"/>
    <w:p w:rsidR="00781C82" w:rsidRDefault="00781C82" w:rsidP="00781C82">
      <w:pPr>
        <w:pStyle w:val="a5"/>
        <w:tabs>
          <w:tab w:val="left" w:pos="993"/>
          <w:tab w:val="left" w:pos="3261"/>
          <w:tab w:val="left" w:pos="3686"/>
          <w:tab w:val="left" w:pos="3828"/>
          <w:tab w:val="left" w:pos="4253"/>
          <w:tab w:val="left" w:pos="4820"/>
          <w:tab w:val="left" w:pos="5245"/>
        </w:tabs>
        <w:rPr>
          <w:b/>
        </w:rPr>
      </w:pPr>
    </w:p>
    <w:p w:rsidR="0021669E" w:rsidRPr="002B45C5" w:rsidRDefault="00BF2F70" w:rsidP="002E7B5C">
      <w:pPr>
        <w:pStyle w:val="a5"/>
        <w:numPr>
          <w:ilvl w:val="0"/>
          <w:numId w:val="21"/>
        </w:numPr>
        <w:tabs>
          <w:tab w:val="left" w:pos="993"/>
          <w:tab w:val="left" w:pos="3261"/>
          <w:tab w:val="left" w:pos="3686"/>
          <w:tab w:val="left" w:pos="3828"/>
          <w:tab w:val="left" w:pos="4253"/>
          <w:tab w:val="left" w:pos="4820"/>
          <w:tab w:val="left" w:pos="5245"/>
        </w:tabs>
        <w:ind w:hanging="436"/>
        <w:jc w:val="center"/>
        <w:rPr>
          <w:b/>
        </w:rPr>
      </w:pPr>
      <w:r w:rsidRPr="002B45C5">
        <w:rPr>
          <w:b/>
        </w:rPr>
        <w:t>Общие положения</w:t>
      </w:r>
    </w:p>
    <w:p w:rsidR="00836ED7" w:rsidRPr="00B5459D" w:rsidRDefault="00836ED7" w:rsidP="00836ED7">
      <w:pPr>
        <w:pStyle w:val="a5"/>
        <w:tabs>
          <w:tab w:val="left" w:pos="993"/>
          <w:tab w:val="left" w:pos="3261"/>
          <w:tab w:val="left" w:pos="3686"/>
          <w:tab w:val="left" w:pos="5245"/>
        </w:tabs>
        <w:rPr>
          <w:b/>
          <w:sz w:val="10"/>
          <w:szCs w:val="10"/>
        </w:rPr>
      </w:pPr>
    </w:p>
    <w:p w:rsidR="00F35EA1" w:rsidRPr="002B7BDF" w:rsidRDefault="00F35EA1" w:rsidP="00BF5C20">
      <w:pPr>
        <w:pStyle w:val="30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689"/>
        <w:rPr>
          <w:sz w:val="24"/>
          <w:szCs w:val="24"/>
        </w:rPr>
      </w:pPr>
      <w:proofErr w:type="gramStart"/>
      <w:r w:rsidRPr="002B7BDF">
        <w:rPr>
          <w:sz w:val="24"/>
          <w:szCs w:val="24"/>
        </w:rPr>
        <w:t xml:space="preserve">Настоящий Порядок </w:t>
      </w:r>
      <w:r w:rsidR="00FF4AC6" w:rsidRPr="002B7BDF">
        <w:rPr>
          <w:sz w:val="24"/>
          <w:szCs w:val="24"/>
        </w:rPr>
        <w:t>определяет</w:t>
      </w:r>
      <w:r w:rsidR="0079546A" w:rsidRPr="002B7BDF">
        <w:rPr>
          <w:sz w:val="24"/>
          <w:szCs w:val="24"/>
        </w:rPr>
        <w:t xml:space="preserve"> </w:t>
      </w:r>
      <w:r w:rsidR="00E300DB" w:rsidRPr="002B7BDF">
        <w:rPr>
          <w:sz w:val="24"/>
          <w:szCs w:val="24"/>
        </w:rPr>
        <w:t xml:space="preserve">действующие процентные ставки для </w:t>
      </w:r>
      <w:r w:rsidR="004133F8" w:rsidRPr="002B7BDF">
        <w:rPr>
          <w:sz w:val="24"/>
          <w:szCs w:val="24"/>
        </w:rPr>
        <w:t>расчет</w:t>
      </w:r>
      <w:r w:rsidR="007C6221" w:rsidRPr="002B7BDF">
        <w:rPr>
          <w:sz w:val="24"/>
          <w:szCs w:val="24"/>
        </w:rPr>
        <w:t>а</w:t>
      </w:r>
      <w:r w:rsidR="004133F8" w:rsidRPr="002B7BDF">
        <w:rPr>
          <w:sz w:val="24"/>
          <w:szCs w:val="24"/>
        </w:rPr>
        <w:t xml:space="preserve"> размера</w:t>
      </w:r>
      <w:r w:rsidR="00FF4AC6" w:rsidRPr="002B7BDF">
        <w:rPr>
          <w:sz w:val="24"/>
          <w:szCs w:val="24"/>
        </w:rPr>
        <w:t xml:space="preserve"> вознаграждения за предоставление поручительств</w:t>
      </w:r>
      <w:r w:rsidR="005B5E3A" w:rsidRPr="002B7BDF">
        <w:rPr>
          <w:sz w:val="24"/>
          <w:szCs w:val="24"/>
        </w:rPr>
        <w:t>а</w:t>
      </w:r>
      <w:r w:rsidR="00FF4AC6" w:rsidRPr="002B7BDF">
        <w:rPr>
          <w:sz w:val="24"/>
          <w:szCs w:val="24"/>
        </w:rPr>
        <w:t xml:space="preserve"> </w:t>
      </w:r>
      <w:r w:rsidR="00FF0B9A" w:rsidRPr="002B7BDF">
        <w:rPr>
          <w:sz w:val="24"/>
          <w:szCs w:val="24"/>
        </w:rPr>
        <w:t>Н</w:t>
      </w:r>
      <w:r w:rsidR="00DF19E4" w:rsidRPr="002B7BDF">
        <w:rPr>
          <w:sz w:val="24"/>
          <w:szCs w:val="24"/>
        </w:rPr>
        <w:t>екоммерческой организацией «Гарантийный фонд Ростовской области»</w:t>
      </w:r>
      <w:r w:rsidR="00FF0B9A" w:rsidRPr="002B7BDF">
        <w:rPr>
          <w:sz w:val="24"/>
          <w:szCs w:val="24"/>
        </w:rPr>
        <w:t xml:space="preserve"> (далее – Фонд)</w:t>
      </w:r>
      <w:r w:rsidR="00DF19E4" w:rsidRPr="002B7BDF">
        <w:rPr>
          <w:sz w:val="24"/>
          <w:szCs w:val="24"/>
        </w:rPr>
        <w:t xml:space="preserve"> </w:t>
      </w:r>
      <w:r w:rsidR="00E54CCE" w:rsidRPr="002B7BDF">
        <w:rPr>
          <w:sz w:val="24"/>
          <w:szCs w:val="24"/>
        </w:rPr>
        <w:t>в обеспечени</w:t>
      </w:r>
      <w:r w:rsidR="0070020D" w:rsidRPr="002B7BDF">
        <w:rPr>
          <w:sz w:val="24"/>
          <w:szCs w:val="24"/>
        </w:rPr>
        <w:t>е о</w:t>
      </w:r>
      <w:r w:rsidRPr="002B7BDF">
        <w:rPr>
          <w:sz w:val="24"/>
          <w:szCs w:val="24"/>
        </w:rPr>
        <w:t xml:space="preserve">бязательств </w:t>
      </w:r>
      <w:r w:rsidR="00BF5C20" w:rsidRPr="002B7BDF">
        <w:rPr>
          <w:sz w:val="24"/>
          <w:szCs w:val="24"/>
        </w:rPr>
        <w:t>субъектов малого и среднего предпринимательства</w:t>
      </w:r>
      <w:r w:rsidR="00B5459D" w:rsidRPr="002B7BDF">
        <w:rPr>
          <w:sz w:val="24"/>
          <w:szCs w:val="24"/>
        </w:rPr>
        <w:t>,</w:t>
      </w:r>
      <w:r w:rsidR="00BF5C20" w:rsidRPr="002B7BDF">
        <w:rPr>
          <w:sz w:val="24"/>
          <w:szCs w:val="24"/>
        </w:rPr>
        <w:t xml:space="preserve"> </w:t>
      </w:r>
      <w:r w:rsidR="001C313C" w:rsidRPr="002B7BDF">
        <w:rPr>
          <w:sz w:val="24"/>
          <w:szCs w:val="24"/>
        </w:rPr>
        <w:t>физических лиц, применяющих специальный налоговый режим «Налог на профессиональный доход»</w:t>
      </w:r>
      <w:r w:rsidR="001C313C" w:rsidRPr="002B7BDF">
        <w:rPr>
          <w:rStyle w:val="af"/>
          <w:sz w:val="24"/>
          <w:szCs w:val="24"/>
        </w:rPr>
        <w:footnoteReference w:id="1"/>
      </w:r>
      <w:r w:rsidR="001C313C" w:rsidRPr="002B7BDF">
        <w:rPr>
          <w:sz w:val="24"/>
          <w:szCs w:val="24"/>
        </w:rPr>
        <w:t xml:space="preserve">, </w:t>
      </w:r>
      <w:r w:rsidR="00B5459D" w:rsidRPr="002B7BDF">
        <w:rPr>
          <w:sz w:val="24"/>
          <w:szCs w:val="24"/>
        </w:rPr>
        <w:t xml:space="preserve">организаций инфраструктуры поддержки субъектов малого и среднего предпринимательства </w:t>
      </w:r>
      <w:r w:rsidRPr="002B7BDF">
        <w:rPr>
          <w:sz w:val="24"/>
          <w:szCs w:val="24"/>
        </w:rPr>
        <w:t>(далее</w:t>
      </w:r>
      <w:r w:rsidR="005B5E3A" w:rsidRPr="002B7BDF">
        <w:rPr>
          <w:sz w:val="24"/>
          <w:szCs w:val="24"/>
        </w:rPr>
        <w:t xml:space="preserve"> </w:t>
      </w:r>
      <w:r w:rsidR="0070020D" w:rsidRPr="002B7BDF">
        <w:rPr>
          <w:sz w:val="24"/>
          <w:szCs w:val="24"/>
        </w:rPr>
        <w:t>- Хозяйствующи</w:t>
      </w:r>
      <w:r w:rsidR="00BF5C20" w:rsidRPr="002B7BDF">
        <w:rPr>
          <w:sz w:val="24"/>
          <w:szCs w:val="24"/>
        </w:rPr>
        <w:t>е</w:t>
      </w:r>
      <w:r w:rsidR="0070020D" w:rsidRPr="002B7BDF">
        <w:rPr>
          <w:sz w:val="24"/>
          <w:szCs w:val="24"/>
        </w:rPr>
        <w:t xml:space="preserve"> субъект</w:t>
      </w:r>
      <w:r w:rsidR="00BF5C20" w:rsidRPr="002B7BDF">
        <w:rPr>
          <w:sz w:val="24"/>
          <w:szCs w:val="24"/>
        </w:rPr>
        <w:t>ы</w:t>
      </w:r>
      <w:r w:rsidR="0070020D" w:rsidRPr="002B7BDF">
        <w:rPr>
          <w:sz w:val="24"/>
          <w:szCs w:val="24"/>
        </w:rPr>
        <w:t>), по</w:t>
      </w:r>
      <w:r w:rsidRPr="002B7BDF">
        <w:rPr>
          <w:sz w:val="24"/>
          <w:szCs w:val="24"/>
        </w:rPr>
        <w:t xml:space="preserve"> кредитны</w:t>
      </w:r>
      <w:r w:rsidR="0070020D" w:rsidRPr="002B7BDF">
        <w:rPr>
          <w:sz w:val="24"/>
          <w:szCs w:val="24"/>
        </w:rPr>
        <w:t>м</w:t>
      </w:r>
      <w:r w:rsidRPr="002B7BDF">
        <w:rPr>
          <w:sz w:val="24"/>
          <w:szCs w:val="24"/>
        </w:rPr>
        <w:t xml:space="preserve"> договор</w:t>
      </w:r>
      <w:r w:rsidR="0070020D" w:rsidRPr="002B7BDF">
        <w:rPr>
          <w:sz w:val="24"/>
          <w:szCs w:val="24"/>
        </w:rPr>
        <w:t>ам</w:t>
      </w:r>
      <w:r w:rsidRPr="002B7BDF">
        <w:rPr>
          <w:sz w:val="24"/>
          <w:szCs w:val="24"/>
        </w:rPr>
        <w:t>,</w:t>
      </w:r>
      <w:r w:rsidR="00FF4AC6" w:rsidRPr="002B7BDF">
        <w:rPr>
          <w:sz w:val="24"/>
          <w:szCs w:val="24"/>
        </w:rPr>
        <w:t xml:space="preserve"> договор</w:t>
      </w:r>
      <w:r w:rsidR="0070020D" w:rsidRPr="002B7BDF">
        <w:rPr>
          <w:sz w:val="24"/>
          <w:szCs w:val="24"/>
        </w:rPr>
        <w:t>ам</w:t>
      </w:r>
      <w:r w:rsidR="00FF4AC6" w:rsidRPr="002B7BDF">
        <w:rPr>
          <w:sz w:val="24"/>
          <w:szCs w:val="24"/>
        </w:rPr>
        <w:t xml:space="preserve"> займа, договор</w:t>
      </w:r>
      <w:r w:rsidR="0070020D" w:rsidRPr="002B7BDF">
        <w:rPr>
          <w:sz w:val="24"/>
          <w:szCs w:val="24"/>
        </w:rPr>
        <w:t>ам</w:t>
      </w:r>
      <w:r w:rsidR="00FF4AC6" w:rsidRPr="002B7BDF">
        <w:rPr>
          <w:sz w:val="24"/>
          <w:szCs w:val="24"/>
        </w:rPr>
        <w:t xml:space="preserve"> </w:t>
      </w:r>
      <w:r w:rsidR="00715FEC" w:rsidRPr="002B7BDF">
        <w:rPr>
          <w:sz w:val="24"/>
          <w:szCs w:val="24"/>
        </w:rPr>
        <w:t xml:space="preserve">о предоставлении </w:t>
      </w:r>
      <w:r w:rsidR="00FF4AC6" w:rsidRPr="002B7BDF">
        <w:rPr>
          <w:sz w:val="24"/>
          <w:szCs w:val="24"/>
        </w:rPr>
        <w:t>банковской гарантии</w:t>
      </w:r>
      <w:proofErr w:type="gramEnd"/>
      <w:r w:rsidR="00FF4AC6" w:rsidRPr="002B7BDF">
        <w:rPr>
          <w:sz w:val="24"/>
          <w:szCs w:val="24"/>
        </w:rPr>
        <w:t>, договор</w:t>
      </w:r>
      <w:r w:rsidR="0070020D" w:rsidRPr="002B7BDF">
        <w:rPr>
          <w:sz w:val="24"/>
          <w:szCs w:val="24"/>
        </w:rPr>
        <w:t>ам</w:t>
      </w:r>
      <w:r w:rsidR="00FF4AC6" w:rsidRPr="002B7BDF">
        <w:rPr>
          <w:sz w:val="24"/>
          <w:szCs w:val="24"/>
        </w:rPr>
        <w:t xml:space="preserve"> </w:t>
      </w:r>
      <w:r w:rsidR="005B5E3A" w:rsidRPr="002B7BDF">
        <w:rPr>
          <w:sz w:val="24"/>
          <w:szCs w:val="24"/>
        </w:rPr>
        <w:t>финансовой аренды (</w:t>
      </w:r>
      <w:r w:rsidR="00FF4AC6" w:rsidRPr="002B7BDF">
        <w:rPr>
          <w:sz w:val="24"/>
          <w:szCs w:val="24"/>
        </w:rPr>
        <w:t>лизинга</w:t>
      </w:r>
      <w:r w:rsidR="005B5E3A" w:rsidRPr="002B7BDF">
        <w:rPr>
          <w:sz w:val="24"/>
          <w:szCs w:val="24"/>
        </w:rPr>
        <w:t>)</w:t>
      </w:r>
      <w:r w:rsidR="002B7BDF" w:rsidRPr="002B7BDF">
        <w:rPr>
          <w:sz w:val="24"/>
          <w:szCs w:val="24"/>
        </w:rPr>
        <w:t>,</w:t>
      </w:r>
      <w:r w:rsidR="00DF19E4" w:rsidRPr="002B7BDF">
        <w:rPr>
          <w:sz w:val="24"/>
          <w:szCs w:val="24"/>
        </w:rPr>
        <w:t xml:space="preserve"> </w:t>
      </w:r>
      <w:r w:rsidR="00463B93" w:rsidRPr="002B7BDF">
        <w:rPr>
          <w:sz w:val="24"/>
          <w:szCs w:val="24"/>
        </w:rPr>
        <w:t xml:space="preserve">заключенным с </w:t>
      </w:r>
      <w:r w:rsidR="002B7BDF" w:rsidRPr="002B7BDF">
        <w:rPr>
          <w:sz w:val="24"/>
          <w:szCs w:val="24"/>
        </w:rPr>
        <w:t>ф</w:t>
      </w:r>
      <w:r w:rsidR="00463B93" w:rsidRPr="002B7BDF">
        <w:rPr>
          <w:sz w:val="24"/>
          <w:szCs w:val="24"/>
        </w:rPr>
        <w:t>инансовыми организациями</w:t>
      </w:r>
      <w:r w:rsidR="00DF19E4" w:rsidRPr="002B7BDF">
        <w:rPr>
          <w:sz w:val="24"/>
          <w:szCs w:val="24"/>
        </w:rPr>
        <w:t xml:space="preserve"> -</w:t>
      </w:r>
      <w:r w:rsidR="00463B93" w:rsidRPr="002B7BDF">
        <w:rPr>
          <w:sz w:val="24"/>
          <w:szCs w:val="24"/>
        </w:rPr>
        <w:t xml:space="preserve"> партнерами Фонда</w:t>
      </w:r>
      <w:r w:rsidR="00E300DB" w:rsidRPr="002B7BDF">
        <w:rPr>
          <w:sz w:val="24"/>
          <w:szCs w:val="24"/>
        </w:rPr>
        <w:t>, а также регламентирует порядок расчета и оплаты суммы вознаграждения</w:t>
      </w:r>
      <w:r w:rsidR="00F06C9A" w:rsidRPr="002B7BDF">
        <w:rPr>
          <w:sz w:val="24"/>
          <w:szCs w:val="24"/>
        </w:rPr>
        <w:t>.</w:t>
      </w:r>
    </w:p>
    <w:p w:rsidR="00F35EA1" w:rsidRPr="002B7BDF" w:rsidRDefault="00F06C9A" w:rsidP="007A4BA6">
      <w:pPr>
        <w:pStyle w:val="30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689"/>
        <w:rPr>
          <w:sz w:val="24"/>
          <w:szCs w:val="24"/>
        </w:rPr>
      </w:pPr>
      <w:proofErr w:type="gramStart"/>
      <w:r w:rsidRPr="002B7BDF">
        <w:rPr>
          <w:sz w:val="24"/>
          <w:szCs w:val="24"/>
        </w:rPr>
        <w:t>Порядок</w:t>
      </w:r>
      <w:r w:rsidR="00F35EA1" w:rsidRPr="002B7BDF">
        <w:rPr>
          <w:sz w:val="24"/>
          <w:szCs w:val="24"/>
        </w:rPr>
        <w:t xml:space="preserve"> разработан в соответствии с</w:t>
      </w:r>
      <w:r w:rsidR="005B5E3A" w:rsidRPr="002B7BDF">
        <w:rPr>
          <w:sz w:val="24"/>
          <w:szCs w:val="24"/>
        </w:rPr>
        <w:t xml:space="preserve"> Гражданским Кодексом Российской Федерации,</w:t>
      </w:r>
      <w:r w:rsidR="00F35EA1" w:rsidRPr="002B7BDF">
        <w:rPr>
          <w:sz w:val="24"/>
          <w:szCs w:val="24"/>
        </w:rPr>
        <w:t xml:space="preserve"> Федеральным законом от 24.07.2007</w:t>
      </w:r>
      <w:r w:rsidR="005B5E3A" w:rsidRPr="002B7BDF">
        <w:rPr>
          <w:sz w:val="24"/>
          <w:szCs w:val="24"/>
        </w:rPr>
        <w:t xml:space="preserve"> </w:t>
      </w:r>
      <w:r w:rsidR="00F35EA1" w:rsidRPr="002B7BDF">
        <w:rPr>
          <w:sz w:val="24"/>
          <w:szCs w:val="24"/>
        </w:rPr>
        <w:t>г. №</w:t>
      </w:r>
      <w:r w:rsidR="00BF5C20" w:rsidRPr="002B7BDF">
        <w:rPr>
          <w:sz w:val="24"/>
          <w:szCs w:val="24"/>
        </w:rPr>
        <w:t xml:space="preserve"> </w:t>
      </w:r>
      <w:r w:rsidR="00F35EA1" w:rsidRPr="002B7BDF">
        <w:rPr>
          <w:sz w:val="24"/>
          <w:szCs w:val="24"/>
        </w:rPr>
        <w:t xml:space="preserve">209-ФЗ «О развитии малого и среднего предпринимательства в Российской Федерации», </w:t>
      </w:r>
      <w:r w:rsidRPr="002B7BDF">
        <w:rPr>
          <w:sz w:val="24"/>
          <w:szCs w:val="24"/>
        </w:rPr>
        <w:t xml:space="preserve">Приказом Министерства экономического развития РФ от 28 ноября 2016 г. № 763 </w:t>
      </w:r>
      <w:r w:rsidR="005B5E3A" w:rsidRPr="002B7BDF">
        <w:rPr>
          <w:sz w:val="24"/>
          <w:szCs w:val="24"/>
        </w:rPr>
        <w:t>«</w:t>
      </w:r>
      <w:r w:rsidRPr="002B7BDF">
        <w:rPr>
          <w:sz w:val="24"/>
          <w:szCs w:val="24"/>
        </w:rPr>
        <w:t>Об утверждении требований к фондам содействия кредитованию (гарантийным фондам, фондам поручительств)</w:t>
      </w:r>
      <w:r w:rsidR="005B5E3A" w:rsidRPr="002B7BDF">
        <w:rPr>
          <w:sz w:val="24"/>
          <w:szCs w:val="24"/>
        </w:rPr>
        <w:t xml:space="preserve"> </w:t>
      </w:r>
      <w:r w:rsidRPr="002B7BDF">
        <w:rPr>
          <w:sz w:val="24"/>
          <w:szCs w:val="24"/>
        </w:rPr>
        <w:t>и их деятельности</w:t>
      </w:r>
      <w:r w:rsidR="005B5E3A" w:rsidRPr="002B7BDF">
        <w:rPr>
          <w:sz w:val="24"/>
          <w:szCs w:val="24"/>
        </w:rPr>
        <w:t>»</w:t>
      </w:r>
      <w:r w:rsidRPr="002B7BDF">
        <w:rPr>
          <w:sz w:val="24"/>
          <w:szCs w:val="24"/>
        </w:rPr>
        <w:t xml:space="preserve">, </w:t>
      </w:r>
      <w:r w:rsidR="00F35EA1" w:rsidRPr="002B7BDF">
        <w:rPr>
          <w:sz w:val="24"/>
          <w:szCs w:val="24"/>
        </w:rPr>
        <w:t>а также иными нормативно - правовыми актами Российской Федерации</w:t>
      </w:r>
      <w:r w:rsidR="0070020D" w:rsidRPr="002B7BDF">
        <w:rPr>
          <w:sz w:val="24"/>
          <w:szCs w:val="24"/>
        </w:rPr>
        <w:t xml:space="preserve"> и Ростовской области</w:t>
      </w:r>
      <w:r w:rsidR="00F35EA1" w:rsidRPr="002B7BDF">
        <w:rPr>
          <w:sz w:val="24"/>
          <w:szCs w:val="24"/>
        </w:rPr>
        <w:t>.</w:t>
      </w:r>
      <w:proofErr w:type="gramEnd"/>
    </w:p>
    <w:p w:rsidR="0021669E" w:rsidRPr="002B7BDF" w:rsidRDefault="00F06C9A" w:rsidP="007A4BA6">
      <w:pPr>
        <w:pStyle w:val="30"/>
        <w:numPr>
          <w:ilvl w:val="1"/>
          <w:numId w:val="21"/>
        </w:numPr>
        <w:shd w:val="clear" w:color="auto" w:fill="auto"/>
        <w:tabs>
          <w:tab w:val="left" w:pos="1134"/>
        </w:tabs>
        <w:spacing w:line="240" w:lineRule="auto"/>
        <w:ind w:left="20" w:firstLine="689"/>
        <w:rPr>
          <w:sz w:val="24"/>
          <w:szCs w:val="24"/>
        </w:rPr>
      </w:pPr>
      <w:proofErr w:type="gramStart"/>
      <w:r w:rsidRPr="002B7BDF">
        <w:rPr>
          <w:sz w:val="24"/>
          <w:szCs w:val="24"/>
        </w:rPr>
        <w:t>Понятия</w:t>
      </w:r>
      <w:r w:rsidR="00C073F5" w:rsidRPr="002B7BDF">
        <w:rPr>
          <w:sz w:val="24"/>
          <w:szCs w:val="24"/>
        </w:rPr>
        <w:t xml:space="preserve"> и </w:t>
      </w:r>
      <w:r w:rsidRPr="002B7BDF">
        <w:rPr>
          <w:sz w:val="24"/>
          <w:szCs w:val="24"/>
        </w:rPr>
        <w:t xml:space="preserve">термины, </w:t>
      </w:r>
      <w:r w:rsidR="00C073F5" w:rsidRPr="002B7BDF">
        <w:rPr>
          <w:sz w:val="24"/>
          <w:szCs w:val="24"/>
        </w:rPr>
        <w:t>применяемые</w:t>
      </w:r>
      <w:r w:rsidRPr="002B7BDF">
        <w:rPr>
          <w:sz w:val="24"/>
          <w:szCs w:val="24"/>
        </w:rPr>
        <w:t xml:space="preserve"> в </w:t>
      </w:r>
      <w:r w:rsidR="007A4BA6" w:rsidRPr="002B7BDF">
        <w:rPr>
          <w:sz w:val="24"/>
          <w:szCs w:val="24"/>
        </w:rPr>
        <w:t xml:space="preserve">Регламентах предоставления поручительств Некоммерческой организацией «Гарантийный фонд Ростовской области» (в обеспечение кредитных договоров и договоров займа, договоров о предоставлении банковской гарантии, договоров </w:t>
      </w:r>
      <w:r w:rsidR="00BF5C20" w:rsidRPr="002B7BDF">
        <w:rPr>
          <w:sz w:val="24"/>
          <w:szCs w:val="24"/>
        </w:rPr>
        <w:t>финансовой аренды (лизинга</w:t>
      </w:r>
      <w:r w:rsidR="007A4BA6" w:rsidRPr="002B7BDF">
        <w:rPr>
          <w:sz w:val="24"/>
          <w:szCs w:val="24"/>
        </w:rPr>
        <w:t>)</w:t>
      </w:r>
      <w:r w:rsidR="005B5E3A" w:rsidRPr="002B7BDF">
        <w:rPr>
          <w:sz w:val="24"/>
          <w:szCs w:val="24"/>
        </w:rPr>
        <w:t xml:space="preserve">, </w:t>
      </w:r>
      <w:r w:rsidR="000722C3" w:rsidRPr="002B7BDF">
        <w:rPr>
          <w:sz w:val="24"/>
          <w:szCs w:val="24"/>
        </w:rPr>
        <w:t xml:space="preserve">также </w:t>
      </w:r>
      <w:r w:rsidRPr="002B7BDF">
        <w:rPr>
          <w:sz w:val="24"/>
          <w:szCs w:val="24"/>
        </w:rPr>
        <w:t>применимы к настоящему Порядку.</w:t>
      </w:r>
      <w:proofErr w:type="gramEnd"/>
    </w:p>
    <w:p w:rsidR="00F06C9A" w:rsidRPr="002B45C5" w:rsidRDefault="00F06C9A" w:rsidP="006A213D">
      <w:pPr>
        <w:pStyle w:val="30"/>
        <w:shd w:val="clear" w:color="auto" w:fill="auto"/>
        <w:ind w:left="740" w:firstLine="689"/>
        <w:rPr>
          <w:sz w:val="24"/>
          <w:szCs w:val="24"/>
        </w:rPr>
      </w:pPr>
    </w:p>
    <w:p w:rsidR="004E0C39" w:rsidRPr="006A213D" w:rsidRDefault="004E0C39" w:rsidP="006A213D">
      <w:pPr>
        <w:pStyle w:val="a5"/>
        <w:numPr>
          <w:ilvl w:val="0"/>
          <w:numId w:val="21"/>
        </w:numPr>
        <w:tabs>
          <w:tab w:val="left" w:pos="993"/>
          <w:tab w:val="left" w:pos="1560"/>
          <w:tab w:val="left" w:pos="1843"/>
          <w:tab w:val="left" w:pos="5245"/>
        </w:tabs>
        <w:ind w:firstLine="840"/>
        <w:rPr>
          <w:b/>
        </w:rPr>
      </w:pPr>
      <w:r w:rsidRPr="006A213D">
        <w:rPr>
          <w:b/>
        </w:rPr>
        <w:t xml:space="preserve">Формула </w:t>
      </w:r>
      <w:r w:rsidR="00E300DB" w:rsidRPr="006A213D">
        <w:rPr>
          <w:b/>
        </w:rPr>
        <w:t xml:space="preserve">для </w:t>
      </w:r>
      <w:r w:rsidRPr="006A213D">
        <w:rPr>
          <w:b/>
        </w:rPr>
        <w:t xml:space="preserve">расчета суммы вознаграждения за </w:t>
      </w:r>
      <w:r w:rsidR="006A213D">
        <w:rPr>
          <w:b/>
        </w:rPr>
        <w:t>п</w:t>
      </w:r>
      <w:r w:rsidRPr="006A213D">
        <w:rPr>
          <w:b/>
        </w:rPr>
        <w:t xml:space="preserve">оручительство </w:t>
      </w:r>
    </w:p>
    <w:p w:rsidR="004E0C39" w:rsidRPr="00B5459D" w:rsidRDefault="004E0C39" w:rsidP="006A213D">
      <w:pPr>
        <w:ind w:firstLine="689"/>
        <w:rPr>
          <w:sz w:val="10"/>
          <w:szCs w:val="10"/>
        </w:rPr>
      </w:pPr>
    </w:p>
    <w:p w:rsidR="004E0C39" w:rsidRPr="001B2B4E" w:rsidRDefault="004E0C39" w:rsidP="009F3DB5">
      <w:pPr>
        <w:pStyle w:val="30"/>
        <w:numPr>
          <w:ilvl w:val="1"/>
          <w:numId w:val="21"/>
        </w:numPr>
        <w:shd w:val="clear" w:color="auto" w:fill="auto"/>
        <w:tabs>
          <w:tab w:val="left" w:pos="1134"/>
        </w:tabs>
        <w:ind w:firstLine="709"/>
        <w:rPr>
          <w:b/>
        </w:rPr>
      </w:pPr>
      <w:r w:rsidRPr="009F3DB5">
        <w:rPr>
          <w:b/>
          <w:sz w:val="24"/>
          <w:szCs w:val="24"/>
        </w:rPr>
        <w:t>При расчете вознаграждения за предоставление поручительства применяется следующая формула:</w:t>
      </w:r>
    </w:p>
    <w:p w:rsidR="00AC600E" w:rsidRPr="009F3DB5" w:rsidRDefault="00AC600E" w:rsidP="00AC600E">
      <w:pPr>
        <w:pStyle w:val="30"/>
        <w:shd w:val="clear" w:color="auto" w:fill="auto"/>
        <w:tabs>
          <w:tab w:val="left" w:pos="1134"/>
        </w:tabs>
        <w:ind w:left="709" w:firstLine="0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FA7089" wp14:editId="59BBEF5E">
                <wp:simplePos x="0" y="0"/>
                <wp:positionH relativeFrom="column">
                  <wp:posOffset>2803193</wp:posOffset>
                </wp:positionH>
                <wp:positionV relativeFrom="paragraph">
                  <wp:posOffset>102870</wp:posOffset>
                </wp:positionV>
                <wp:extent cx="1595120" cy="353060"/>
                <wp:effectExtent l="0" t="0" r="24130" b="2794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595120" cy="35306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26" style="position:absolute;margin-left:220.7pt;margin-top:8.1pt;width:125.6pt;height:2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" filled="f" strokecolor="#243f60 [1604]" strokeweight="2pt">
                <v:path arrowok="t"/>
              </v:rect>
            </w:pict>
          </mc:Fallback>
        </mc:AlternateContent>
      </w:r>
    </w:p>
    <w:p w:rsidR="00D55522" w:rsidRDefault="004E0C39" w:rsidP="00D55522">
      <w:pPr>
        <w:tabs>
          <w:tab w:val="left" w:pos="0"/>
          <w:tab w:val="left" w:pos="2605"/>
          <w:tab w:val="left" w:pos="6962"/>
        </w:tabs>
        <w:ind w:firstLine="689"/>
      </w:pPr>
      <w:r w:rsidRPr="002B45C5">
        <w:rPr>
          <w:b/>
        </w:rPr>
        <w:t xml:space="preserve">                                                                   I = </w:t>
      </w:r>
      <w:r w:rsidRPr="002B45C5">
        <w:rPr>
          <w:b/>
          <w:lang w:val="en-US"/>
        </w:rPr>
        <w:t>sP</w:t>
      </w:r>
      <w:r w:rsidRPr="002B45C5">
        <w:rPr>
          <w:b/>
        </w:rPr>
        <w:t xml:space="preserve"> х R x D / DY</w:t>
      </w:r>
      <w:r w:rsidR="00D55522" w:rsidRPr="00D55522">
        <w:t xml:space="preserve"> </w:t>
      </w:r>
      <w:r w:rsidR="00D55522">
        <w:t xml:space="preserve">        </w:t>
      </w:r>
      <w:r w:rsidR="00D55522" w:rsidRPr="006A213D">
        <w:t>где,</w:t>
      </w:r>
    </w:p>
    <w:p w:rsidR="001B2B4E" w:rsidRPr="00D03F2E" w:rsidRDefault="001B2B4E" w:rsidP="00D55522">
      <w:pPr>
        <w:tabs>
          <w:tab w:val="left" w:pos="0"/>
          <w:tab w:val="left" w:pos="2605"/>
          <w:tab w:val="left" w:pos="6962"/>
        </w:tabs>
        <w:ind w:firstLine="689"/>
      </w:pPr>
    </w:p>
    <w:p w:rsidR="004E0C39" w:rsidRPr="001B2B4E" w:rsidRDefault="004E0C39" w:rsidP="006A213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ind w:left="-4253" w:firstLine="689"/>
        <w:jc w:val="center"/>
        <w:rPr>
          <w:b/>
          <w:sz w:val="12"/>
          <w:szCs w:val="12"/>
        </w:rPr>
      </w:pPr>
    </w:p>
    <w:p w:rsidR="004E0C39" w:rsidRPr="006A213D" w:rsidRDefault="004E0C39" w:rsidP="002E7B5C">
      <w:pPr>
        <w:spacing w:line="360" w:lineRule="auto"/>
        <w:rPr>
          <w:u w:val="single"/>
        </w:rPr>
      </w:pPr>
      <w:r w:rsidRPr="006A213D">
        <w:rPr>
          <w:b/>
          <w:u w:val="single"/>
        </w:rPr>
        <w:t xml:space="preserve">I </w:t>
      </w:r>
      <w:r w:rsidR="00756A1A" w:rsidRPr="006A213D">
        <w:rPr>
          <w:u w:val="single"/>
        </w:rPr>
        <w:t>–</w:t>
      </w:r>
      <w:r w:rsidRPr="006A213D">
        <w:rPr>
          <w:u w:val="single"/>
        </w:rPr>
        <w:t xml:space="preserve"> </w:t>
      </w:r>
      <w:r w:rsidR="00756A1A" w:rsidRPr="006A213D">
        <w:rPr>
          <w:u w:val="single"/>
        </w:rPr>
        <w:t xml:space="preserve">размер </w:t>
      </w:r>
      <w:r w:rsidRPr="006A213D">
        <w:rPr>
          <w:u w:val="single"/>
        </w:rPr>
        <w:t>вознаграждени</w:t>
      </w:r>
      <w:r w:rsidR="00756A1A" w:rsidRPr="006A213D">
        <w:rPr>
          <w:u w:val="single"/>
        </w:rPr>
        <w:t>я</w:t>
      </w:r>
      <w:r w:rsidRPr="006A213D">
        <w:rPr>
          <w:u w:val="single"/>
        </w:rPr>
        <w:t xml:space="preserve"> за поручительство Фонда;</w:t>
      </w:r>
    </w:p>
    <w:p w:rsidR="004E0C39" w:rsidRPr="006A213D" w:rsidRDefault="004E0C39" w:rsidP="002E7B5C">
      <w:pPr>
        <w:jc w:val="both"/>
      </w:pPr>
      <w:r w:rsidRPr="006A213D">
        <w:rPr>
          <w:b/>
          <w:lang w:val="en-US"/>
        </w:rPr>
        <w:t>sP</w:t>
      </w:r>
      <w:r w:rsidRPr="006A213D">
        <w:rPr>
          <w:b/>
        </w:rPr>
        <w:t xml:space="preserve">  </w:t>
      </w:r>
      <w:r w:rsidR="0012526E" w:rsidRPr="006A213D">
        <w:t>-</w:t>
      </w:r>
      <w:r w:rsidRPr="006A213D">
        <w:t xml:space="preserve"> сумма поручительства</w:t>
      </w:r>
      <w:r w:rsidR="00E300DB" w:rsidRPr="006A213D">
        <w:t xml:space="preserve"> (в рублях)</w:t>
      </w:r>
      <w:r w:rsidRPr="006A213D">
        <w:t>;</w:t>
      </w:r>
    </w:p>
    <w:p w:rsidR="004E0C39" w:rsidRPr="006A213D" w:rsidRDefault="004E0C39" w:rsidP="002E7B5C">
      <w:pPr>
        <w:jc w:val="both"/>
        <w:rPr>
          <w:i/>
        </w:rPr>
      </w:pPr>
      <w:r w:rsidRPr="006A213D">
        <w:rPr>
          <w:b/>
        </w:rPr>
        <w:t xml:space="preserve">R </w:t>
      </w:r>
      <w:r w:rsidRPr="006A213D">
        <w:t xml:space="preserve">- ставка вознаграждения </w:t>
      </w:r>
      <w:r w:rsidR="00756A1A" w:rsidRPr="006A213D">
        <w:t>(в % годовых) (</w:t>
      </w:r>
      <w:r w:rsidRPr="006A213D">
        <w:rPr>
          <w:i/>
        </w:rPr>
        <w:t xml:space="preserve">устанавливается в соответствии </w:t>
      </w:r>
      <w:r w:rsidRPr="006A213D">
        <w:rPr>
          <w:i/>
          <w:lang w:val="en-US"/>
        </w:rPr>
        <w:t>c</w:t>
      </w:r>
      <w:r w:rsidR="00756A1A" w:rsidRPr="006A213D">
        <w:rPr>
          <w:i/>
        </w:rPr>
        <w:t xml:space="preserve"> </w:t>
      </w:r>
      <w:r w:rsidR="006A213D">
        <w:rPr>
          <w:i/>
        </w:rPr>
        <w:t>р</w:t>
      </w:r>
      <w:r w:rsidR="00756A1A" w:rsidRPr="006A213D">
        <w:rPr>
          <w:i/>
        </w:rPr>
        <w:t xml:space="preserve">азделом 3 </w:t>
      </w:r>
      <w:r w:rsidRPr="006A213D">
        <w:rPr>
          <w:i/>
        </w:rPr>
        <w:t xml:space="preserve"> настоящего Порядка</w:t>
      </w:r>
      <w:r w:rsidR="00756A1A" w:rsidRPr="006A213D">
        <w:rPr>
          <w:i/>
        </w:rPr>
        <w:t>)</w:t>
      </w:r>
      <w:r w:rsidRPr="006A213D">
        <w:rPr>
          <w:i/>
        </w:rPr>
        <w:t>;</w:t>
      </w:r>
    </w:p>
    <w:p w:rsidR="004E0C39" w:rsidRPr="006A213D" w:rsidRDefault="004E0C39" w:rsidP="002E7B5C">
      <w:pPr>
        <w:jc w:val="both"/>
        <w:rPr>
          <w:i/>
        </w:rPr>
      </w:pPr>
      <w:r w:rsidRPr="006A213D">
        <w:rPr>
          <w:b/>
        </w:rPr>
        <w:t xml:space="preserve">D </w:t>
      </w:r>
      <w:r w:rsidRPr="006A213D">
        <w:t xml:space="preserve">- количество дней срока действия поручительства </w:t>
      </w:r>
      <w:r w:rsidRPr="006A213D">
        <w:rPr>
          <w:i/>
        </w:rPr>
        <w:t xml:space="preserve">(определяется на основании </w:t>
      </w:r>
      <w:r w:rsidR="009211D3" w:rsidRPr="009211D3">
        <w:rPr>
          <w:i/>
        </w:rPr>
        <w:t>з</w:t>
      </w:r>
      <w:r w:rsidRPr="006A213D">
        <w:rPr>
          <w:i/>
        </w:rPr>
        <w:t>аявки на п</w:t>
      </w:r>
      <w:r w:rsidR="006A213D">
        <w:rPr>
          <w:i/>
        </w:rPr>
        <w:t>олучение</w:t>
      </w:r>
      <w:r w:rsidRPr="006A213D">
        <w:rPr>
          <w:i/>
        </w:rPr>
        <w:t xml:space="preserve"> поручительства Фонда);</w:t>
      </w:r>
    </w:p>
    <w:p w:rsidR="004E0C39" w:rsidRPr="002B45C5" w:rsidRDefault="004E0C39" w:rsidP="002E7B5C">
      <w:pPr>
        <w:jc w:val="both"/>
        <w:rPr>
          <w:i/>
        </w:rPr>
      </w:pPr>
      <w:r w:rsidRPr="006A213D">
        <w:rPr>
          <w:b/>
        </w:rPr>
        <w:t>DY</w:t>
      </w:r>
      <w:r w:rsidR="0012526E" w:rsidRPr="006A213D">
        <w:rPr>
          <w:b/>
        </w:rPr>
        <w:t xml:space="preserve"> </w:t>
      </w:r>
      <w:r w:rsidRPr="006A213D">
        <w:t xml:space="preserve">- количество календарных дней в периоде срока действия поручительства </w:t>
      </w:r>
      <w:r w:rsidRPr="006A213D">
        <w:rPr>
          <w:i/>
        </w:rPr>
        <w:t>(при расчете используется 365 или 366 дней, если период включает високосный год).</w:t>
      </w:r>
    </w:p>
    <w:p w:rsidR="004E0C39" w:rsidRPr="002B45C5" w:rsidRDefault="004E0C39" w:rsidP="006A213D">
      <w:pPr>
        <w:ind w:firstLine="689"/>
        <w:rPr>
          <w:i/>
        </w:rPr>
      </w:pPr>
    </w:p>
    <w:p w:rsidR="00665A65" w:rsidRDefault="00CF3828" w:rsidP="00665A65">
      <w:pPr>
        <w:pStyle w:val="a5"/>
        <w:numPr>
          <w:ilvl w:val="0"/>
          <w:numId w:val="25"/>
        </w:numPr>
        <w:tabs>
          <w:tab w:val="left" w:pos="1418"/>
          <w:tab w:val="left" w:pos="1701"/>
          <w:tab w:val="left" w:pos="1843"/>
          <w:tab w:val="left" w:pos="3119"/>
          <w:tab w:val="left" w:pos="3544"/>
          <w:tab w:val="left" w:pos="4253"/>
          <w:tab w:val="left" w:pos="4395"/>
        </w:tabs>
        <w:ind w:firstLine="916"/>
        <w:jc w:val="center"/>
        <w:rPr>
          <w:b/>
        </w:rPr>
      </w:pPr>
      <w:r w:rsidRPr="002B45C5">
        <w:rPr>
          <w:b/>
        </w:rPr>
        <w:t xml:space="preserve">Ставки вознаграждения за </w:t>
      </w:r>
      <w:r w:rsidR="00E07B93" w:rsidRPr="002B45C5">
        <w:rPr>
          <w:b/>
        </w:rPr>
        <w:t xml:space="preserve">предоставление </w:t>
      </w:r>
      <w:r w:rsidRPr="002B45C5">
        <w:rPr>
          <w:b/>
        </w:rPr>
        <w:t>поручительств</w:t>
      </w:r>
      <w:r w:rsidR="00E07B93" w:rsidRPr="002B45C5">
        <w:rPr>
          <w:b/>
        </w:rPr>
        <w:t>а</w:t>
      </w:r>
      <w:r w:rsidRPr="002B45C5">
        <w:rPr>
          <w:b/>
        </w:rPr>
        <w:t xml:space="preserve"> Фонда</w:t>
      </w:r>
      <w:r w:rsidR="00665A65">
        <w:rPr>
          <w:b/>
        </w:rPr>
        <w:t xml:space="preserve">, </w:t>
      </w:r>
    </w:p>
    <w:p w:rsidR="00665A65" w:rsidRDefault="00665A65" w:rsidP="00665A65">
      <w:pPr>
        <w:pStyle w:val="a5"/>
        <w:tabs>
          <w:tab w:val="left" w:pos="1418"/>
          <w:tab w:val="left" w:pos="3119"/>
          <w:tab w:val="left" w:pos="3544"/>
          <w:tab w:val="left" w:pos="4253"/>
          <w:tab w:val="left" w:pos="4395"/>
        </w:tabs>
        <w:ind w:left="567"/>
        <w:jc w:val="center"/>
        <w:rPr>
          <w:b/>
        </w:rPr>
      </w:pPr>
      <w:r>
        <w:rPr>
          <w:b/>
        </w:rPr>
        <w:t>п</w:t>
      </w:r>
      <w:r w:rsidRPr="002B45C5">
        <w:rPr>
          <w:b/>
        </w:rPr>
        <w:t>орядок оплаты вознаграждения</w:t>
      </w:r>
    </w:p>
    <w:p w:rsidR="009443AC" w:rsidRPr="00B5459D" w:rsidRDefault="009443AC" w:rsidP="006A213D">
      <w:pPr>
        <w:pStyle w:val="a5"/>
        <w:ind w:firstLine="689"/>
        <w:rPr>
          <w:b/>
          <w:sz w:val="10"/>
          <w:szCs w:val="10"/>
        </w:rPr>
      </w:pPr>
    </w:p>
    <w:p w:rsidR="006D0839" w:rsidRPr="002B45C5" w:rsidRDefault="006D0839" w:rsidP="006A213D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b/>
        </w:rPr>
      </w:pPr>
      <w:r w:rsidRPr="002B45C5">
        <w:rPr>
          <w:b/>
        </w:rPr>
        <w:t>Перечень приоритетных категорий Хозяйствующ</w:t>
      </w:r>
      <w:r w:rsidR="00D16931" w:rsidRPr="002B45C5">
        <w:rPr>
          <w:b/>
        </w:rPr>
        <w:t xml:space="preserve">их субъектов </w:t>
      </w:r>
      <w:r w:rsidRPr="002B45C5">
        <w:t xml:space="preserve">и применяемые ставки вознаграждения за поручительство приведены в Таблице № </w:t>
      </w:r>
      <w:r w:rsidR="00DF19E4">
        <w:t>1</w:t>
      </w:r>
      <w:r w:rsidRPr="002B45C5">
        <w:t>:</w:t>
      </w:r>
    </w:p>
    <w:p w:rsidR="00D413EC" w:rsidRDefault="00D413EC" w:rsidP="006A213D">
      <w:pPr>
        <w:pStyle w:val="a5"/>
        <w:ind w:firstLine="689"/>
        <w:jc w:val="right"/>
        <w:rPr>
          <w:i/>
          <w:sz w:val="22"/>
          <w:szCs w:val="22"/>
        </w:rPr>
      </w:pPr>
    </w:p>
    <w:p w:rsidR="001B2B4E" w:rsidRDefault="001B2B4E" w:rsidP="006A213D">
      <w:pPr>
        <w:pStyle w:val="a5"/>
        <w:ind w:firstLine="689"/>
        <w:jc w:val="right"/>
        <w:rPr>
          <w:i/>
          <w:sz w:val="10"/>
          <w:szCs w:val="10"/>
        </w:rPr>
      </w:pPr>
    </w:p>
    <w:p w:rsidR="00A377FC" w:rsidRDefault="00A377FC" w:rsidP="006A213D">
      <w:pPr>
        <w:pStyle w:val="a5"/>
        <w:ind w:firstLine="689"/>
        <w:jc w:val="right"/>
        <w:rPr>
          <w:i/>
          <w:sz w:val="10"/>
          <w:szCs w:val="10"/>
        </w:rPr>
      </w:pPr>
    </w:p>
    <w:p w:rsidR="00A377FC" w:rsidRDefault="00A377FC" w:rsidP="006A213D">
      <w:pPr>
        <w:pStyle w:val="a5"/>
        <w:ind w:firstLine="689"/>
        <w:jc w:val="right"/>
        <w:rPr>
          <w:i/>
          <w:sz w:val="10"/>
          <w:szCs w:val="10"/>
        </w:rPr>
      </w:pPr>
    </w:p>
    <w:p w:rsidR="005A56EF" w:rsidRPr="00572B5D" w:rsidRDefault="005A56EF" w:rsidP="006A213D">
      <w:pPr>
        <w:pStyle w:val="a5"/>
        <w:ind w:firstLine="689"/>
        <w:jc w:val="right"/>
        <w:rPr>
          <w:i/>
          <w:sz w:val="20"/>
          <w:szCs w:val="20"/>
        </w:rPr>
      </w:pPr>
      <w:r w:rsidRPr="00572B5D">
        <w:rPr>
          <w:i/>
          <w:sz w:val="20"/>
          <w:szCs w:val="20"/>
        </w:rPr>
        <w:t xml:space="preserve">Таблица </w:t>
      </w:r>
      <w:r w:rsidR="00CF3828" w:rsidRPr="00572B5D">
        <w:rPr>
          <w:i/>
          <w:sz w:val="20"/>
          <w:szCs w:val="20"/>
        </w:rPr>
        <w:t>№</w:t>
      </w:r>
      <w:r w:rsidR="00C7153A" w:rsidRPr="00572B5D">
        <w:rPr>
          <w:i/>
          <w:sz w:val="20"/>
          <w:szCs w:val="20"/>
        </w:rPr>
        <w:t xml:space="preserve"> </w:t>
      </w:r>
      <w:r w:rsidR="00DF19E4" w:rsidRPr="00572B5D">
        <w:rPr>
          <w:i/>
          <w:sz w:val="20"/>
          <w:szCs w:val="20"/>
        </w:rPr>
        <w:t>1</w:t>
      </w:r>
    </w:p>
    <w:tbl>
      <w:tblPr>
        <w:tblStyle w:val="10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3119"/>
        <w:gridCol w:w="6237"/>
        <w:gridCol w:w="1418"/>
      </w:tblGrid>
      <w:tr w:rsidR="00D91749" w:rsidRPr="002B45C5" w:rsidTr="00906B68">
        <w:trPr>
          <w:trHeight w:val="1017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91749" w:rsidRPr="002B45C5" w:rsidRDefault="00D91749" w:rsidP="006A2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single" w:sz="4" w:color="auto"/>
              </w:pBdr>
              <w:ind w:firstLine="689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B45C5">
              <w:rPr>
                <w:b/>
                <w:sz w:val="20"/>
                <w:szCs w:val="20"/>
              </w:rPr>
              <w:t>п</w:t>
            </w:r>
            <w:proofErr w:type="gramEnd"/>
            <w:r w:rsidRPr="002B45C5">
              <w:rPr>
                <w:b/>
                <w:sz w:val="20"/>
                <w:szCs w:val="20"/>
              </w:rPr>
              <w:t>/п</w:t>
            </w:r>
          </w:p>
          <w:p w:rsidR="00D91749" w:rsidRPr="002B45C5" w:rsidRDefault="00D91749" w:rsidP="006A213D">
            <w:pPr>
              <w:ind w:firstLine="6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  <w:vAlign w:val="center"/>
          </w:tcPr>
          <w:p w:rsidR="00D91749" w:rsidRPr="002B45C5" w:rsidRDefault="00D91749" w:rsidP="006A213D">
            <w:pPr>
              <w:tabs>
                <w:tab w:val="left" w:pos="318"/>
              </w:tabs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Приоритетная категория Хозяйствующего субъекта</w:t>
            </w:r>
          </w:p>
        </w:tc>
        <w:tc>
          <w:tcPr>
            <w:tcW w:w="6237" w:type="dxa"/>
            <w:tcBorders>
              <w:top w:val="single" w:sz="4" w:space="0" w:color="auto"/>
            </w:tcBorders>
            <w:vAlign w:val="center"/>
          </w:tcPr>
          <w:p w:rsidR="00D91749" w:rsidRPr="002B45C5" w:rsidRDefault="00D91749" w:rsidP="006A213D">
            <w:pPr>
              <w:ind w:firstLine="689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Условия, определяющие соответствие Хозяйствующего субъекта приоритетной категории</w:t>
            </w:r>
            <w:r w:rsidR="00DE0DD3">
              <w:rPr>
                <w:b/>
                <w:sz w:val="20"/>
                <w:szCs w:val="20"/>
              </w:rPr>
              <w:t>,</w:t>
            </w:r>
            <w:r w:rsidRPr="002B45C5">
              <w:rPr>
                <w:b/>
                <w:sz w:val="20"/>
                <w:szCs w:val="20"/>
              </w:rPr>
              <w:t xml:space="preserve"> подтверждающие документы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1B2B4E" w:rsidRDefault="00D91749" w:rsidP="006A213D">
            <w:pPr>
              <w:jc w:val="center"/>
              <w:rPr>
                <w:b/>
                <w:sz w:val="16"/>
                <w:szCs w:val="16"/>
              </w:rPr>
            </w:pPr>
            <w:r w:rsidRPr="008B3BB0">
              <w:rPr>
                <w:b/>
                <w:sz w:val="16"/>
                <w:szCs w:val="16"/>
              </w:rPr>
              <w:t>Ставка вознаграждения за поручительство</w:t>
            </w:r>
            <w:r w:rsidR="00836ED7" w:rsidRPr="008B3BB0">
              <w:rPr>
                <w:b/>
                <w:sz w:val="16"/>
                <w:szCs w:val="16"/>
              </w:rPr>
              <w:t xml:space="preserve"> </w:t>
            </w:r>
          </w:p>
          <w:p w:rsidR="00D91749" w:rsidRPr="008B3BB0" w:rsidRDefault="00D91749" w:rsidP="006A213D">
            <w:pPr>
              <w:jc w:val="center"/>
              <w:rPr>
                <w:b/>
                <w:sz w:val="16"/>
                <w:szCs w:val="16"/>
              </w:rPr>
            </w:pPr>
            <w:r w:rsidRPr="008B3BB0">
              <w:rPr>
                <w:sz w:val="16"/>
                <w:szCs w:val="16"/>
              </w:rPr>
              <w:t>(% годовых)</w:t>
            </w:r>
          </w:p>
        </w:tc>
      </w:tr>
      <w:tr w:rsidR="00D91749" w:rsidRPr="002B45C5" w:rsidTr="00906B68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D91749" w:rsidRPr="008B3BB0" w:rsidRDefault="008B3BB0" w:rsidP="008B3BB0">
            <w:pPr>
              <w:rPr>
                <w:b/>
                <w:sz w:val="20"/>
                <w:szCs w:val="20"/>
              </w:rPr>
            </w:pPr>
            <w:r w:rsidRPr="008B3BB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91749" w:rsidRPr="002B45C5" w:rsidRDefault="008B3BB0" w:rsidP="008B3BB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</w:t>
            </w:r>
            <w:r w:rsidR="00E54E0E" w:rsidRPr="002B45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D91749" w:rsidRPr="002B45C5" w:rsidRDefault="008B3BB0" w:rsidP="008B3BB0">
            <w:pPr>
              <w:ind w:firstLine="689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</w:t>
            </w:r>
            <w:r w:rsidR="00E54E0E" w:rsidRPr="002B45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91749" w:rsidRPr="002B45C5" w:rsidRDefault="00E54E0E" w:rsidP="008B3BB0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4</w:t>
            </w:r>
          </w:p>
        </w:tc>
      </w:tr>
      <w:tr w:rsidR="00D91749" w:rsidRPr="002B45C5" w:rsidTr="00906B68">
        <w:trPr>
          <w:trHeight w:val="146"/>
        </w:trPr>
        <w:tc>
          <w:tcPr>
            <w:tcW w:w="425" w:type="dxa"/>
            <w:tcBorders>
              <w:right w:val="single" w:sz="4" w:space="0" w:color="auto"/>
            </w:tcBorders>
          </w:tcPr>
          <w:p w:rsidR="006A213D" w:rsidRPr="006A213D" w:rsidRDefault="006A213D" w:rsidP="006A213D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4"/>
                <w:szCs w:val="14"/>
              </w:rPr>
            </w:pPr>
          </w:p>
          <w:p w:rsidR="00D91749" w:rsidRPr="00DD319B" w:rsidRDefault="006A213D" w:rsidP="006A213D">
            <w:pPr>
              <w:ind w:left="-108" w:right="-108"/>
              <w:rPr>
                <w:b/>
                <w:sz w:val="18"/>
                <w:szCs w:val="18"/>
              </w:rPr>
            </w:pPr>
            <w:r w:rsidRPr="00DD319B">
              <w:rPr>
                <w:b/>
                <w:sz w:val="18"/>
                <w:szCs w:val="18"/>
              </w:rPr>
              <w:t>3.1.1.</w:t>
            </w:r>
          </w:p>
          <w:p w:rsidR="006A213D" w:rsidRPr="006A213D" w:rsidRDefault="006A213D" w:rsidP="006A213D">
            <w:pPr>
              <w:ind w:left="-108" w:right="-108"/>
              <w:rPr>
                <w:b/>
                <w:sz w:val="14"/>
                <w:szCs w:val="14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D91749" w:rsidRPr="00A377FC" w:rsidRDefault="00D91749" w:rsidP="006A213D">
            <w:pPr>
              <w:ind w:firstLine="34"/>
              <w:jc w:val="both"/>
              <w:rPr>
                <w:b/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 xml:space="preserve">Хозяйствующий субъект - субъект предпринимательства </w:t>
            </w:r>
            <w:r w:rsidR="00643064" w:rsidRPr="00A377FC">
              <w:rPr>
                <w:sz w:val="21"/>
                <w:szCs w:val="21"/>
              </w:rPr>
              <w:t>в границах</w:t>
            </w:r>
            <w:r w:rsidRPr="00A377FC">
              <w:rPr>
                <w:b/>
                <w:sz w:val="21"/>
                <w:szCs w:val="21"/>
              </w:rPr>
              <w:t xml:space="preserve"> моногорода Ростовской области и ТОСЭР Ростовской области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D91749" w:rsidRPr="002B45C5" w:rsidRDefault="00D91749" w:rsidP="00820AB3">
            <w:pPr>
              <w:pStyle w:val="a5"/>
              <w:numPr>
                <w:ilvl w:val="0"/>
                <w:numId w:val="14"/>
              </w:numPr>
              <w:tabs>
                <w:tab w:val="right" w:pos="176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7F1C4C">
              <w:rPr>
                <w:b/>
                <w:sz w:val="20"/>
                <w:szCs w:val="20"/>
              </w:rPr>
              <w:t>Хозяйствующий</w:t>
            </w:r>
            <w:r w:rsidRPr="002B45C5">
              <w:rPr>
                <w:sz w:val="20"/>
                <w:szCs w:val="20"/>
              </w:rPr>
              <w:t xml:space="preserve"> </w:t>
            </w:r>
            <w:r w:rsidRPr="002B45C5">
              <w:rPr>
                <w:b/>
                <w:sz w:val="20"/>
                <w:szCs w:val="20"/>
              </w:rPr>
              <w:t>субъект зарегистрирован на территории моногорода или ТОСЭР</w:t>
            </w:r>
            <w:r w:rsidRPr="002B45C5">
              <w:rPr>
                <w:sz w:val="20"/>
                <w:szCs w:val="20"/>
              </w:rPr>
              <w:t xml:space="preserve"> (согласно данным выписки из ЕГРЮЛ/ ЕГРИП) и (или) </w:t>
            </w:r>
            <w:r w:rsidRPr="002B45C5">
              <w:rPr>
                <w:b/>
                <w:sz w:val="20"/>
                <w:szCs w:val="20"/>
              </w:rPr>
              <w:t>фактически осуществляет деятельность</w:t>
            </w:r>
            <w:r w:rsidRPr="002B45C5">
              <w:rPr>
                <w:sz w:val="20"/>
                <w:szCs w:val="20"/>
              </w:rPr>
              <w:t xml:space="preserve"> на территории моногорода, что подтверждается документами, обосновывающими его нахождение по месту ведения бизнеса (договор аренды, субаренды, свидетельство о собственности на объек</w:t>
            </w:r>
            <w:proofErr w:type="gramStart"/>
            <w:r w:rsidRPr="002B45C5">
              <w:rPr>
                <w:sz w:val="20"/>
                <w:szCs w:val="20"/>
              </w:rPr>
              <w:t>т(</w:t>
            </w:r>
            <w:proofErr w:type="gramEnd"/>
            <w:r w:rsidRPr="002B45C5">
              <w:rPr>
                <w:sz w:val="20"/>
                <w:szCs w:val="20"/>
              </w:rPr>
              <w:t xml:space="preserve">ы) недвижимости, используемые в бизнесе и пр.) с актуальным сроком действия на дату подачи </w:t>
            </w:r>
            <w:r w:rsidR="00820AB3">
              <w:rPr>
                <w:sz w:val="20"/>
                <w:szCs w:val="20"/>
              </w:rPr>
              <w:t>з</w:t>
            </w:r>
            <w:r w:rsidRPr="002B45C5">
              <w:rPr>
                <w:sz w:val="20"/>
                <w:szCs w:val="20"/>
              </w:rPr>
              <w:t>аявки на поручительство в Фонд;</w:t>
            </w:r>
          </w:p>
        </w:tc>
        <w:tc>
          <w:tcPr>
            <w:tcW w:w="1418" w:type="dxa"/>
            <w:vAlign w:val="center"/>
          </w:tcPr>
          <w:p w:rsidR="00D91749" w:rsidRPr="002B45C5" w:rsidRDefault="00D91749" w:rsidP="006A213D">
            <w:pPr>
              <w:ind w:firstLine="34"/>
              <w:jc w:val="center"/>
              <w:rPr>
                <w:sz w:val="22"/>
                <w:szCs w:val="22"/>
              </w:rPr>
            </w:pPr>
            <w:r w:rsidRPr="002B45C5">
              <w:rPr>
                <w:b/>
                <w:sz w:val="22"/>
                <w:szCs w:val="22"/>
              </w:rPr>
              <w:t>0,50 %</w:t>
            </w:r>
            <w:r w:rsidRPr="002B45C5">
              <w:rPr>
                <w:sz w:val="22"/>
                <w:szCs w:val="22"/>
              </w:rPr>
              <w:t xml:space="preserve"> годовых</w:t>
            </w:r>
          </w:p>
          <w:p w:rsidR="00D91749" w:rsidRPr="002B7BDF" w:rsidRDefault="00D91749" w:rsidP="006A213D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2B7BDF">
              <w:rPr>
                <w:sz w:val="17"/>
                <w:szCs w:val="17"/>
              </w:rPr>
              <w:t>от суммы поручительства</w:t>
            </w:r>
          </w:p>
        </w:tc>
      </w:tr>
      <w:tr w:rsidR="0012526E" w:rsidRPr="002B45C5" w:rsidTr="00906B68">
        <w:trPr>
          <w:trHeight w:val="146"/>
        </w:trPr>
        <w:tc>
          <w:tcPr>
            <w:tcW w:w="425" w:type="dxa"/>
            <w:tcBorders>
              <w:right w:val="single" w:sz="4" w:space="0" w:color="auto"/>
            </w:tcBorders>
          </w:tcPr>
          <w:p w:rsidR="006A213D" w:rsidRPr="008B3BB0" w:rsidRDefault="006A213D" w:rsidP="008B3BB0">
            <w:pPr>
              <w:ind w:left="-108" w:right="-108"/>
              <w:rPr>
                <w:b/>
                <w:sz w:val="16"/>
                <w:szCs w:val="16"/>
              </w:rPr>
            </w:pPr>
          </w:p>
          <w:p w:rsidR="006A213D" w:rsidRPr="00DD319B" w:rsidRDefault="006A213D" w:rsidP="008B3BB0">
            <w:pPr>
              <w:ind w:left="-108" w:right="-108"/>
              <w:rPr>
                <w:b/>
                <w:sz w:val="18"/>
                <w:szCs w:val="18"/>
              </w:rPr>
            </w:pPr>
            <w:r w:rsidRPr="00DD319B">
              <w:rPr>
                <w:b/>
                <w:sz w:val="18"/>
                <w:szCs w:val="18"/>
              </w:rPr>
              <w:t>3.1.2.</w:t>
            </w:r>
          </w:p>
          <w:p w:rsidR="0012526E" w:rsidRPr="008B3BB0" w:rsidRDefault="0012526E" w:rsidP="008B3BB0">
            <w:pPr>
              <w:ind w:left="-108" w:right="-108"/>
              <w:rPr>
                <w:b/>
                <w:sz w:val="16"/>
                <w:szCs w:val="16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12526E" w:rsidRPr="00A377FC" w:rsidRDefault="0012526E" w:rsidP="008B3BB0">
            <w:pPr>
              <w:jc w:val="both"/>
              <w:rPr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 xml:space="preserve">Хозяйствующий субъект -  </w:t>
            </w:r>
            <w:r w:rsidRPr="00A377FC">
              <w:rPr>
                <w:b/>
                <w:sz w:val="21"/>
                <w:szCs w:val="21"/>
              </w:rPr>
              <w:t>«начинающий предприниматель»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12526E" w:rsidRPr="00395783" w:rsidRDefault="001E0FA7" w:rsidP="001B2B4E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92306B">
              <w:rPr>
                <w:b/>
                <w:sz w:val="20"/>
                <w:szCs w:val="20"/>
              </w:rPr>
              <w:t>Хозяйствующий субъект</w:t>
            </w:r>
            <w:r w:rsidR="0052797D" w:rsidRPr="0092306B">
              <w:rPr>
                <w:sz w:val="20"/>
                <w:szCs w:val="20"/>
              </w:rPr>
              <w:t>,</w:t>
            </w:r>
            <w:r w:rsidRPr="0092306B">
              <w:rPr>
                <w:sz w:val="20"/>
                <w:szCs w:val="20"/>
              </w:rPr>
              <w:t xml:space="preserve"> срок регистрации которого не превышает </w:t>
            </w:r>
            <w:r w:rsidRPr="0092306B">
              <w:rPr>
                <w:b/>
                <w:sz w:val="20"/>
                <w:szCs w:val="20"/>
              </w:rPr>
              <w:t xml:space="preserve">12 </w:t>
            </w:r>
            <w:r w:rsidRPr="00395783">
              <w:rPr>
                <w:b/>
                <w:sz w:val="20"/>
                <w:szCs w:val="20"/>
              </w:rPr>
              <w:t>месяцев</w:t>
            </w:r>
            <w:r w:rsidRPr="00395783">
              <w:rPr>
                <w:sz w:val="20"/>
                <w:szCs w:val="20"/>
              </w:rPr>
              <w:t xml:space="preserve"> на дату </w:t>
            </w:r>
            <w:r w:rsidR="00C374A3" w:rsidRPr="00395783">
              <w:rPr>
                <w:sz w:val="20"/>
                <w:szCs w:val="20"/>
              </w:rPr>
              <w:t>заключения договора поручительства</w:t>
            </w:r>
            <w:r w:rsidR="001B2B4E">
              <w:rPr>
                <w:sz w:val="20"/>
                <w:szCs w:val="20"/>
              </w:rPr>
              <w:t xml:space="preserve"> (на основании сведений </w:t>
            </w:r>
            <w:r w:rsidR="001B2B4E" w:rsidRPr="00665FD9">
              <w:rPr>
                <w:sz w:val="20"/>
                <w:szCs w:val="20"/>
              </w:rPr>
              <w:t>из выписки ЕГРЮЛ/ ЕГРИП)</w:t>
            </w:r>
            <w:r w:rsidR="00C374A3" w:rsidRPr="0039578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1E0FA7" w:rsidRPr="0092306B" w:rsidRDefault="001E0FA7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92306B">
              <w:rPr>
                <w:b/>
                <w:sz w:val="22"/>
                <w:szCs w:val="22"/>
              </w:rPr>
              <w:t xml:space="preserve">0,50 % </w:t>
            </w:r>
            <w:r w:rsidRPr="0092306B">
              <w:rPr>
                <w:sz w:val="22"/>
                <w:szCs w:val="22"/>
              </w:rPr>
              <w:t>годовых</w:t>
            </w:r>
          </w:p>
          <w:p w:rsidR="0012526E" w:rsidRPr="0092306B" w:rsidRDefault="001E0FA7" w:rsidP="008B3BB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92306B">
              <w:rPr>
                <w:sz w:val="17"/>
                <w:szCs w:val="17"/>
              </w:rPr>
              <w:t>от суммы поручительства</w:t>
            </w:r>
          </w:p>
        </w:tc>
      </w:tr>
      <w:tr w:rsidR="004852E2" w:rsidRPr="002B45C5" w:rsidTr="00906B68">
        <w:trPr>
          <w:trHeight w:val="2436"/>
        </w:trPr>
        <w:tc>
          <w:tcPr>
            <w:tcW w:w="425" w:type="dxa"/>
            <w:tcBorders>
              <w:right w:val="single" w:sz="4" w:space="0" w:color="auto"/>
            </w:tcBorders>
          </w:tcPr>
          <w:p w:rsidR="004852E2" w:rsidRPr="004852E2" w:rsidRDefault="004852E2" w:rsidP="008B3BB0">
            <w:pPr>
              <w:ind w:left="-108" w:right="-108"/>
              <w:rPr>
                <w:b/>
                <w:sz w:val="18"/>
                <w:szCs w:val="18"/>
              </w:rPr>
            </w:pPr>
            <w:r w:rsidRPr="004852E2">
              <w:rPr>
                <w:b/>
                <w:sz w:val="18"/>
                <w:szCs w:val="18"/>
              </w:rPr>
              <w:t>3.1.3.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F70522" w:rsidRPr="00A377FC" w:rsidRDefault="004852E2" w:rsidP="001B2B4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2"/>
              <w:jc w:val="both"/>
              <w:rPr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 xml:space="preserve">Хозяйствующий субъект </w:t>
            </w:r>
            <w:r w:rsidR="00A73936" w:rsidRPr="00A377FC">
              <w:rPr>
                <w:b/>
                <w:sz w:val="21"/>
                <w:szCs w:val="21"/>
              </w:rPr>
              <w:t xml:space="preserve"> </w:t>
            </w:r>
            <w:r w:rsidRPr="00A377FC">
              <w:rPr>
                <w:sz w:val="21"/>
                <w:szCs w:val="21"/>
              </w:rPr>
              <w:t xml:space="preserve"> относится </w:t>
            </w:r>
            <w:r w:rsidR="00F70522" w:rsidRPr="00A377FC">
              <w:rPr>
                <w:b/>
                <w:sz w:val="21"/>
                <w:szCs w:val="21"/>
              </w:rPr>
              <w:t>к сфер</w:t>
            </w:r>
            <w:r w:rsidR="00820AB3" w:rsidRPr="00A377FC">
              <w:rPr>
                <w:b/>
                <w:sz w:val="21"/>
                <w:szCs w:val="21"/>
              </w:rPr>
              <w:t>е</w:t>
            </w:r>
            <w:r w:rsidR="00F70522" w:rsidRPr="00A377FC">
              <w:rPr>
                <w:b/>
                <w:sz w:val="21"/>
                <w:szCs w:val="21"/>
              </w:rPr>
              <w:t xml:space="preserve"> деятельности</w:t>
            </w:r>
            <w:r w:rsidR="00F70522" w:rsidRPr="00A377FC">
              <w:rPr>
                <w:sz w:val="21"/>
                <w:szCs w:val="21"/>
              </w:rPr>
              <w:t xml:space="preserve"> из </w:t>
            </w:r>
            <w:r w:rsidR="00F70522" w:rsidRPr="00A377FC">
              <w:rPr>
                <w:b/>
                <w:sz w:val="21"/>
                <w:szCs w:val="21"/>
              </w:rPr>
              <w:t>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F70522" w:rsidRPr="00A377FC">
              <w:rPr>
                <w:sz w:val="21"/>
                <w:szCs w:val="21"/>
              </w:rPr>
              <w:t xml:space="preserve"> 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5C4058" w:rsidRPr="00216D14" w:rsidRDefault="004852E2" w:rsidP="001B2B4E">
            <w:pPr>
              <w:pStyle w:val="a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proofErr w:type="gramStart"/>
            <w:r w:rsidRPr="00665FD9">
              <w:rPr>
                <w:b/>
                <w:sz w:val="20"/>
                <w:szCs w:val="20"/>
              </w:rPr>
              <w:t xml:space="preserve">Хозяйствующий субъект </w:t>
            </w:r>
            <w:r w:rsidR="00751DDB" w:rsidRPr="00665FD9">
              <w:rPr>
                <w:b/>
                <w:sz w:val="20"/>
                <w:szCs w:val="20"/>
              </w:rPr>
              <w:t xml:space="preserve">относится к сфере </w:t>
            </w:r>
            <w:r w:rsidRPr="00665FD9">
              <w:rPr>
                <w:b/>
                <w:sz w:val="20"/>
                <w:szCs w:val="20"/>
              </w:rPr>
              <w:t>деятельност</w:t>
            </w:r>
            <w:r w:rsidR="00751DDB" w:rsidRPr="00665FD9">
              <w:rPr>
                <w:b/>
                <w:sz w:val="20"/>
                <w:szCs w:val="20"/>
              </w:rPr>
              <w:t>и</w:t>
            </w:r>
            <w:r w:rsidRPr="00665FD9">
              <w:rPr>
                <w:b/>
                <w:sz w:val="20"/>
                <w:szCs w:val="20"/>
              </w:rPr>
              <w:t xml:space="preserve"> </w:t>
            </w:r>
            <w:r w:rsidRPr="00665FD9">
              <w:rPr>
                <w:sz w:val="20"/>
                <w:szCs w:val="20"/>
              </w:rPr>
              <w:t>(на основании сведений</w:t>
            </w:r>
            <w:r w:rsidR="00196B25" w:rsidRPr="00665FD9">
              <w:rPr>
                <w:sz w:val="20"/>
                <w:szCs w:val="20"/>
              </w:rPr>
              <w:t xml:space="preserve"> о коде ОКВЭД</w:t>
            </w:r>
            <w:r w:rsidRPr="00665FD9">
              <w:rPr>
                <w:sz w:val="20"/>
                <w:szCs w:val="20"/>
              </w:rPr>
              <w:t>, полученных из выписки ЕГРЮЛ/ ЕГРИП)</w:t>
            </w:r>
            <w:r w:rsidRPr="00665FD9">
              <w:rPr>
                <w:b/>
                <w:sz w:val="20"/>
                <w:szCs w:val="20"/>
              </w:rPr>
              <w:t xml:space="preserve"> </w:t>
            </w:r>
            <w:r w:rsidR="00751DDB" w:rsidRPr="00665FD9">
              <w:rPr>
                <w:b/>
                <w:sz w:val="20"/>
                <w:szCs w:val="20"/>
              </w:rPr>
              <w:t>из 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      </w:r>
            <w:r w:rsidR="00216D14" w:rsidRPr="00665FD9">
              <w:rPr>
                <w:b/>
                <w:sz w:val="20"/>
                <w:szCs w:val="20"/>
              </w:rPr>
              <w:t xml:space="preserve">, </w:t>
            </w:r>
            <w:r w:rsidR="00751DDB" w:rsidRPr="00665FD9">
              <w:rPr>
                <w:sz w:val="20"/>
                <w:szCs w:val="20"/>
              </w:rPr>
              <w:t>утвержденного на федеральном уровне</w:t>
            </w:r>
            <w:r w:rsidR="00B5459D" w:rsidRPr="00B5459D">
              <w:rPr>
                <w:sz w:val="20"/>
                <w:szCs w:val="20"/>
              </w:rPr>
              <w:t xml:space="preserve"> </w:t>
            </w:r>
            <w:r w:rsidR="003B7E27">
              <w:rPr>
                <w:rStyle w:val="af"/>
                <w:sz w:val="20"/>
                <w:szCs w:val="20"/>
              </w:rPr>
              <w:footnoteReference w:id="2"/>
            </w:r>
            <w:r w:rsidR="003B7E27" w:rsidRPr="00665FD9">
              <w:rPr>
                <w:sz w:val="20"/>
                <w:szCs w:val="20"/>
              </w:rPr>
              <w:t xml:space="preserve">. </w:t>
            </w:r>
            <w:r w:rsidR="00216D14" w:rsidRPr="00665FD9">
              <w:rPr>
                <w:b/>
                <w:sz w:val="20"/>
                <w:szCs w:val="20"/>
              </w:rPr>
              <w:t xml:space="preserve"> </w:t>
            </w:r>
            <w:r w:rsidR="00216D14" w:rsidRPr="00665FD9">
              <w:rPr>
                <w:sz w:val="20"/>
                <w:szCs w:val="20"/>
              </w:rPr>
              <w:t xml:space="preserve">(Перечень приведен в </w:t>
            </w:r>
            <w:r w:rsidR="00216D14" w:rsidRPr="00665FD9">
              <w:rPr>
                <w:b/>
                <w:sz w:val="20"/>
                <w:szCs w:val="20"/>
              </w:rPr>
              <w:t>Таблице № 1 п. 2.2.</w:t>
            </w:r>
            <w:proofErr w:type="gramEnd"/>
            <w:r w:rsidR="00216D14" w:rsidRPr="00665FD9">
              <w:rPr>
                <w:b/>
                <w:sz w:val="20"/>
                <w:szCs w:val="20"/>
              </w:rPr>
              <w:t xml:space="preserve"> Раздела 2 Регламентов предоставления поручительств</w:t>
            </w:r>
            <w:r w:rsidR="00216D14" w:rsidRPr="00665FD9">
              <w:rPr>
                <w:sz w:val="20"/>
                <w:szCs w:val="20"/>
              </w:rPr>
              <w:t xml:space="preserve"> </w:t>
            </w:r>
            <w:r w:rsidR="00665FD9" w:rsidRPr="00665FD9">
              <w:rPr>
                <w:sz w:val="20"/>
                <w:szCs w:val="20"/>
              </w:rPr>
              <w:t>НКО</w:t>
            </w:r>
            <w:r w:rsidR="003B7E27" w:rsidRPr="00665FD9">
              <w:rPr>
                <w:sz w:val="20"/>
                <w:szCs w:val="20"/>
              </w:rPr>
              <w:t xml:space="preserve"> </w:t>
            </w:r>
            <w:r w:rsidR="00216D14" w:rsidRPr="00665FD9">
              <w:rPr>
                <w:sz w:val="20"/>
                <w:szCs w:val="20"/>
              </w:rPr>
              <w:t xml:space="preserve">«Гарантийный фонд </w:t>
            </w:r>
            <w:r w:rsidR="00665FD9" w:rsidRPr="00665FD9">
              <w:rPr>
                <w:sz w:val="20"/>
                <w:szCs w:val="20"/>
              </w:rPr>
              <w:t>РО</w:t>
            </w:r>
            <w:r w:rsidR="003B7E27" w:rsidRPr="00665FD9">
              <w:rPr>
                <w:sz w:val="20"/>
                <w:szCs w:val="20"/>
              </w:rPr>
              <w:t xml:space="preserve">» и исполнения обязательств </w:t>
            </w:r>
            <w:r w:rsidR="00216D14" w:rsidRPr="00665FD9">
              <w:rPr>
                <w:sz w:val="20"/>
                <w:szCs w:val="20"/>
              </w:rPr>
              <w:t xml:space="preserve">по договорам поручительства, </w:t>
            </w:r>
            <w:r w:rsidR="00665FD9" w:rsidRPr="00D413EC">
              <w:rPr>
                <w:sz w:val="20"/>
                <w:szCs w:val="20"/>
              </w:rPr>
              <w:t>(</w:t>
            </w:r>
            <w:r w:rsidR="00216D14" w:rsidRPr="00D413EC">
              <w:rPr>
                <w:sz w:val="20"/>
                <w:szCs w:val="20"/>
              </w:rPr>
              <w:t xml:space="preserve">заключенным в обеспечение </w:t>
            </w:r>
            <w:r w:rsidR="003B7E27" w:rsidRPr="00D413EC">
              <w:rPr>
                <w:sz w:val="20"/>
                <w:szCs w:val="20"/>
              </w:rPr>
              <w:t xml:space="preserve">кредитных договоров и договоров займа/ </w:t>
            </w:r>
            <w:r w:rsidR="00216D14" w:rsidRPr="00D413EC">
              <w:rPr>
                <w:sz w:val="20"/>
                <w:szCs w:val="20"/>
              </w:rPr>
              <w:t>договоров</w:t>
            </w:r>
            <w:r w:rsidR="003B7E27" w:rsidRPr="00D413EC">
              <w:rPr>
                <w:sz w:val="20"/>
                <w:szCs w:val="20"/>
              </w:rPr>
              <w:t xml:space="preserve"> </w:t>
            </w:r>
            <w:r w:rsidR="00216D14" w:rsidRPr="00D413EC">
              <w:rPr>
                <w:sz w:val="20"/>
                <w:szCs w:val="20"/>
              </w:rPr>
              <w:t>о предоставлении банковск</w:t>
            </w:r>
            <w:r w:rsidR="001B2B4E">
              <w:rPr>
                <w:sz w:val="20"/>
                <w:szCs w:val="20"/>
              </w:rPr>
              <w:t>ой</w:t>
            </w:r>
            <w:r w:rsidR="00216D14" w:rsidRPr="00D413EC">
              <w:rPr>
                <w:sz w:val="20"/>
                <w:szCs w:val="20"/>
              </w:rPr>
              <w:t xml:space="preserve"> гаранти</w:t>
            </w:r>
            <w:r w:rsidR="001B2B4E">
              <w:rPr>
                <w:sz w:val="20"/>
                <w:szCs w:val="20"/>
              </w:rPr>
              <w:t>и</w:t>
            </w:r>
            <w:r w:rsidR="003B7E27" w:rsidRPr="00D413EC">
              <w:rPr>
                <w:sz w:val="20"/>
                <w:szCs w:val="20"/>
              </w:rPr>
              <w:t>)</w:t>
            </w:r>
            <w:r w:rsidR="003B7E27" w:rsidRPr="00D55522">
              <w:rPr>
                <w:sz w:val="20"/>
                <w:szCs w:val="20"/>
              </w:rPr>
              <w:t xml:space="preserve"> </w:t>
            </w:r>
            <w:r w:rsidR="003B7E27" w:rsidRPr="00D55522">
              <w:rPr>
                <w:sz w:val="20"/>
                <w:szCs w:val="20"/>
                <w:vertAlign w:val="superscript"/>
              </w:rPr>
              <w:footnoteReference w:id="3"/>
            </w:r>
            <w:r w:rsidR="003B7E27" w:rsidRPr="00665FD9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4852E2" w:rsidRPr="00820AB3" w:rsidRDefault="004852E2" w:rsidP="004852E2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 xml:space="preserve">0,50 % </w:t>
            </w:r>
            <w:r w:rsidRPr="00820AB3">
              <w:rPr>
                <w:sz w:val="22"/>
                <w:szCs w:val="22"/>
              </w:rPr>
              <w:t>годовых</w:t>
            </w:r>
          </w:p>
          <w:p w:rsidR="004852E2" w:rsidRPr="002B7BDF" w:rsidRDefault="004852E2" w:rsidP="004852E2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2B7BDF">
              <w:rPr>
                <w:sz w:val="17"/>
                <w:szCs w:val="17"/>
              </w:rPr>
              <w:t>от суммы поручительства</w:t>
            </w:r>
          </w:p>
        </w:tc>
      </w:tr>
      <w:tr w:rsidR="003B5110" w:rsidRPr="002B45C5" w:rsidTr="00906B68">
        <w:trPr>
          <w:trHeight w:val="146"/>
        </w:trPr>
        <w:tc>
          <w:tcPr>
            <w:tcW w:w="425" w:type="dxa"/>
            <w:tcBorders>
              <w:right w:val="single" w:sz="4" w:space="0" w:color="auto"/>
            </w:tcBorders>
          </w:tcPr>
          <w:p w:rsidR="003B5110" w:rsidRPr="00DD1503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  <w:r w:rsidRPr="00DD1503">
              <w:rPr>
                <w:b/>
                <w:sz w:val="18"/>
                <w:szCs w:val="18"/>
              </w:rPr>
              <w:t>3.1.</w:t>
            </w:r>
            <w:r w:rsidR="00395783" w:rsidRPr="00DD1503">
              <w:rPr>
                <w:b/>
                <w:sz w:val="18"/>
                <w:szCs w:val="18"/>
              </w:rPr>
              <w:t>4.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5110" w:rsidRPr="00A377FC" w:rsidRDefault="003B5110" w:rsidP="00395783">
            <w:pPr>
              <w:pStyle w:val="a5"/>
              <w:ind w:left="0"/>
              <w:jc w:val="both"/>
              <w:rPr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 xml:space="preserve">Хозяйствующий субъект относится к </w:t>
            </w:r>
            <w:r w:rsidRPr="00A377FC">
              <w:rPr>
                <w:b/>
                <w:sz w:val="21"/>
                <w:szCs w:val="21"/>
              </w:rPr>
              <w:t xml:space="preserve">социальным предприятиям </w:t>
            </w:r>
            <w:r w:rsidRPr="00A377FC">
              <w:rPr>
                <w:sz w:val="21"/>
                <w:szCs w:val="21"/>
              </w:rPr>
              <w:t>в соответствии с Федеральным законом от 24.07.2007</w:t>
            </w:r>
            <w:r w:rsidR="00395783" w:rsidRPr="00A377FC">
              <w:rPr>
                <w:sz w:val="21"/>
                <w:szCs w:val="21"/>
              </w:rPr>
              <w:t xml:space="preserve"> </w:t>
            </w:r>
            <w:r w:rsidRPr="00A377FC">
              <w:rPr>
                <w:sz w:val="21"/>
                <w:szCs w:val="21"/>
              </w:rPr>
              <w:t>г.</w:t>
            </w:r>
            <w:r w:rsidR="00395783" w:rsidRPr="00A377FC">
              <w:rPr>
                <w:sz w:val="21"/>
                <w:szCs w:val="21"/>
              </w:rPr>
              <w:t xml:space="preserve"> </w:t>
            </w:r>
            <w:r w:rsidRPr="00A377FC">
              <w:rPr>
                <w:sz w:val="21"/>
                <w:szCs w:val="21"/>
              </w:rPr>
              <w:t xml:space="preserve">№ 209-ФЗ  или оказывает социальное воздействие на жизнедеятельность населения </w:t>
            </w:r>
            <w:r w:rsidRPr="00A377FC">
              <w:rPr>
                <w:b/>
                <w:sz w:val="21"/>
                <w:szCs w:val="21"/>
              </w:rPr>
              <w:t>через предоставление коммунальных услуг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B5110" w:rsidRPr="00DD1503" w:rsidRDefault="003B5110" w:rsidP="00A377FC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proofErr w:type="gramStart"/>
            <w:r w:rsidRPr="00DD1503">
              <w:rPr>
                <w:b/>
                <w:sz w:val="20"/>
                <w:szCs w:val="20"/>
              </w:rPr>
              <w:t xml:space="preserve">Хозяйствующий субъект включен в реестр социальных предпринимателей </w:t>
            </w:r>
            <w:r w:rsidRPr="007A4E8F">
              <w:rPr>
                <w:b/>
                <w:sz w:val="20"/>
                <w:szCs w:val="20"/>
              </w:rPr>
              <w:t>(</w:t>
            </w:r>
            <w:r w:rsidRPr="007A4E8F">
              <w:rPr>
                <w:sz w:val="20"/>
                <w:szCs w:val="20"/>
              </w:rPr>
              <w:t>соответствующий маркер присвоен ему в Едином реестре субъектов МСП)</w:t>
            </w:r>
            <w:r w:rsidRPr="00DD1503">
              <w:rPr>
                <w:b/>
                <w:sz w:val="20"/>
                <w:szCs w:val="20"/>
              </w:rPr>
              <w:t xml:space="preserve"> или основной ОКВЭД Хозяйствующего субъекта включает коды из раздела D «Обеспечение электрической энергией, газом и паром; кондиционирование воздуха» и E «Водоснабжение; водоотведение, организация сбора и утилизации отходов, деятельность по ликвидации загрязнений» </w:t>
            </w:r>
            <w:r w:rsidRPr="007A4E8F">
              <w:rPr>
                <w:sz w:val="20"/>
                <w:szCs w:val="20"/>
              </w:rPr>
              <w:t>(</w:t>
            </w:r>
            <w:r w:rsidR="001B2B4E">
              <w:rPr>
                <w:sz w:val="20"/>
                <w:szCs w:val="20"/>
              </w:rPr>
              <w:t xml:space="preserve">на основании </w:t>
            </w:r>
            <w:r w:rsidRPr="007A4E8F">
              <w:rPr>
                <w:sz w:val="20"/>
                <w:szCs w:val="20"/>
              </w:rPr>
              <w:t>данн</w:t>
            </w:r>
            <w:r w:rsidR="001B2B4E">
              <w:rPr>
                <w:sz w:val="20"/>
                <w:szCs w:val="20"/>
              </w:rPr>
              <w:t>ых</w:t>
            </w:r>
            <w:r w:rsidRPr="007A4E8F">
              <w:rPr>
                <w:sz w:val="20"/>
                <w:szCs w:val="20"/>
              </w:rPr>
              <w:t xml:space="preserve"> из ЕГРЮЛ</w:t>
            </w:r>
            <w:r w:rsidR="00A377FC">
              <w:rPr>
                <w:sz w:val="20"/>
                <w:szCs w:val="20"/>
              </w:rPr>
              <w:t>/</w:t>
            </w:r>
            <w:r w:rsidRPr="007A4E8F">
              <w:rPr>
                <w:sz w:val="20"/>
                <w:szCs w:val="20"/>
              </w:rPr>
              <w:t xml:space="preserve"> ЕГРИП)</w:t>
            </w:r>
            <w:r w:rsidR="00395783" w:rsidRPr="007A4E8F">
              <w:rPr>
                <w:sz w:val="20"/>
                <w:szCs w:val="20"/>
              </w:rPr>
              <w:t>;</w:t>
            </w:r>
            <w:proofErr w:type="gramEnd"/>
          </w:p>
        </w:tc>
        <w:tc>
          <w:tcPr>
            <w:tcW w:w="1418" w:type="dxa"/>
            <w:vAlign w:val="center"/>
          </w:tcPr>
          <w:p w:rsidR="003B5110" w:rsidRDefault="003B5110" w:rsidP="00FF0B9A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395783">
              <w:rPr>
                <w:b/>
                <w:sz w:val="22"/>
                <w:szCs w:val="22"/>
              </w:rPr>
              <w:t>0,50%</w:t>
            </w:r>
          </w:p>
          <w:p w:rsidR="00395783" w:rsidRPr="00D55522" w:rsidRDefault="00395783" w:rsidP="00395783">
            <w:pPr>
              <w:ind w:firstLine="34"/>
              <w:jc w:val="center"/>
              <w:rPr>
                <w:sz w:val="22"/>
                <w:szCs w:val="22"/>
              </w:rPr>
            </w:pPr>
            <w:r w:rsidRPr="00D55522">
              <w:rPr>
                <w:sz w:val="22"/>
                <w:szCs w:val="22"/>
              </w:rPr>
              <w:t>годовых</w:t>
            </w:r>
          </w:p>
          <w:p w:rsidR="00395783" w:rsidRPr="00395783" w:rsidRDefault="00395783" w:rsidP="00395783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5552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3B5110" w:rsidRPr="002B45C5" w:rsidTr="00906B68">
        <w:trPr>
          <w:trHeight w:val="146"/>
        </w:trPr>
        <w:tc>
          <w:tcPr>
            <w:tcW w:w="425" w:type="dxa"/>
            <w:tcBorders>
              <w:right w:val="single" w:sz="4" w:space="0" w:color="auto"/>
            </w:tcBorders>
          </w:tcPr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</w:p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</w:p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  <w:r w:rsidRPr="00D55522">
              <w:rPr>
                <w:b/>
                <w:sz w:val="18"/>
                <w:szCs w:val="18"/>
              </w:rPr>
              <w:t>3.1.</w:t>
            </w:r>
            <w:r w:rsidR="00395783">
              <w:rPr>
                <w:b/>
                <w:sz w:val="18"/>
                <w:szCs w:val="18"/>
              </w:rPr>
              <w:t>5</w:t>
            </w:r>
            <w:r w:rsidRPr="00D55522">
              <w:rPr>
                <w:b/>
                <w:sz w:val="18"/>
                <w:szCs w:val="18"/>
              </w:rPr>
              <w:t>.</w:t>
            </w:r>
          </w:p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5110" w:rsidRPr="00A377FC" w:rsidRDefault="003B5110" w:rsidP="00A7393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left" w:pos="0"/>
                <w:tab w:val="left" w:pos="1134"/>
                <w:tab w:val="left" w:pos="1276"/>
              </w:tabs>
              <w:autoSpaceDE w:val="0"/>
              <w:autoSpaceDN w:val="0"/>
              <w:adjustRightInd w:val="0"/>
              <w:ind w:right="-2"/>
              <w:jc w:val="both"/>
              <w:rPr>
                <w:b/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>Хозяйствующий субъект</w:t>
            </w:r>
            <w:r w:rsidRPr="00A377FC">
              <w:rPr>
                <w:b/>
                <w:sz w:val="21"/>
                <w:szCs w:val="21"/>
              </w:rPr>
              <w:t xml:space="preserve"> - физическое лицо, применяющее специальный налоговый режим «Налог на профессиональный доход»</w:t>
            </w:r>
          </w:p>
        </w:tc>
        <w:tc>
          <w:tcPr>
            <w:tcW w:w="6237" w:type="dxa"/>
            <w:tcBorders>
              <w:left w:val="single" w:sz="4" w:space="0" w:color="auto"/>
            </w:tcBorders>
          </w:tcPr>
          <w:p w:rsidR="003B5110" w:rsidRPr="00D55522" w:rsidRDefault="003B5110" w:rsidP="00BF5C20">
            <w:pPr>
              <w:pStyle w:val="a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"/>
              </w:tabs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D55522">
              <w:rPr>
                <w:b/>
                <w:sz w:val="20"/>
                <w:szCs w:val="20"/>
              </w:rPr>
              <w:t>Хозяйствующий</w:t>
            </w:r>
            <w:r w:rsidRPr="00D55522">
              <w:rPr>
                <w:sz w:val="20"/>
                <w:szCs w:val="20"/>
              </w:rPr>
              <w:t xml:space="preserve"> </w:t>
            </w:r>
            <w:r w:rsidRPr="00D55522">
              <w:rPr>
                <w:b/>
                <w:sz w:val="20"/>
                <w:szCs w:val="20"/>
              </w:rPr>
              <w:t xml:space="preserve">субъект соответствует требованиям ст. 4 </w:t>
            </w:r>
            <w:r w:rsidRPr="00D55522">
              <w:rPr>
                <w:sz w:val="20"/>
                <w:szCs w:val="20"/>
              </w:rPr>
              <w:t>Федерального закона от 27.11.2018 № 422-ФЗ «О проведении эксперимента по установлению специального налогового режима «Налог на профессиональный доход»;</w:t>
            </w:r>
          </w:p>
          <w:p w:rsidR="003B5110" w:rsidRPr="00D55522" w:rsidRDefault="003B5110" w:rsidP="00C314CD">
            <w:pPr>
              <w:pStyle w:val="a5"/>
              <w:numPr>
                <w:ilvl w:val="0"/>
                <w:numId w:val="14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tabs>
                <w:tab w:val="right" w:pos="175"/>
              </w:tabs>
              <w:ind w:left="176" w:hanging="176"/>
              <w:jc w:val="both"/>
              <w:rPr>
                <w:b/>
                <w:sz w:val="20"/>
                <w:szCs w:val="20"/>
              </w:rPr>
            </w:pPr>
            <w:r w:rsidRPr="00D55522">
              <w:rPr>
                <w:sz w:val="20"/>
                <w:szCs w:val="20"/>
              </w:rPr>
              <w:t>имеет статус плательщика налога на профессиональный доход (с подтверждением статуса в публичном сервисе ФНС России «Проверка статуса налогоплательщика налога на профессиональный доход (</w:t>
            </w:r>
            <w:proofErr w:type="spellStart"/>
            <w:r w:rsidRPr="00D55522">
              <w:rPr>
                <w:sz w:val="20"/>
                <w:szCs w:val="20"/>
              </w:rPr>
              <w:t>самозанятого</w:t>
            </w:r>
            <w:proofErr w:type="spellEnd"/>
            <w:r w:rsidRPr="00D55522">
              <w:rPr>
                <w:sz w:val="20"/>
                <w:szCs w:val="20"/>
              </w:rPr>
              <w:t>)») на дату подачи заявки на поручительство и дату заключения договора поручительства;</w:t>
            </w:r>
          </w:p>
        </w:tc>
        <w:tc>
          <w:tcPr>
            <w:tcW w:w="1418" w:type="dxa"/>
            <w:vAlign w:val="center"/>
          </w:tcPr>
          <w:p w:rsidR="003B5110" w:rsidRPr="00D55522" w:rsidRDefault="003B5110" w:rsidP="00FF0B9A">
            <w:pPr>
              <w:ind w:firstLine="34"/>
              <w:jc w:val="center"/>
              <w:rPr>
                <w:sz w:val="22"/>
                <w:szCs w:val="22"/>
              </w:rPr>
            </w:pPr>
            <w:r w:rsidRPr="00D55522">
              <w:rPr>
                <w:b/>
                <w:sz w:val="22"/>
                <w:szCs w:val="22"/>
              </w:rPr>
              <w:t xml:space="preserve">0,50 % </w:t>
            </w:r>
            <w:r w:rsidRPr="00D55522">
              <w:rPr>
                <w:sz w:val="22"/>
                <w:szCs w:val="22"/>
              </w:rPr>
              <w:t>годовых</w:t>
            </w:r>
          </w:p>
          <w:p w:rsidR="003B5110" w:rsidRPr="00D55522" w:rsidRDefault="003B5110" w:rsidP="00FF0B9A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D5552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3B5110" w:rsidRPr="002B45C5" w:rsidTr="00906B68">
        <w:trPr>
          <w:trHeight w:val="146"/>
        </w:trPr>
        <w:tc>
          <w:tcPr>
            <w:tcW w:w="425" w:type="dxa"/>
            <w:tcBorders>
              <w:right w:val="single" w:sz="4" w:space="0" w:color="auto"/>
            </w:tcBorders>
          </w:tcPr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</w:p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  <w:r w:rsidRPr="00D55522">
              <w:rPr>
                <w:b/>
                <w:sz w:val="18"/>
                <w:szCs w:val="18"/>
              </w:rPr>
              <w:t>3.1.</w:t>
            </w:r>
            <w:r w:rsidR="00395783">
              <w:rPr>
                <w:b/>
                <w:sz w:val="18"/>
                <w:szCs w:val="18"/>
              </w:rPr>
              <w:t>6</w:t>
            </w:r>
            <w:r w:rsidRPr="00D55522">
              <w:rPr>
                <w:b/>
                <w:sz w:val="18"/>
                <w:szCs w:val="18"/>
              </w:rPr>
              <w:t>.</w:t>
            </w:r>
          </w:p>
          <w:p w:rsidR="003B5110" w:rsidRPr="00D55522" w:rsidRDefault="003B5110" w:rsidP="00395783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3B5110" w:rsidRPr="00A377FC" w:rsidRDefault="003B5110" w:rsidP="00A377FC">
            <w:pPr>
              <w:ind w:firstLine="34"/>
              <w:rPr>
                <w:sz w:val="21"/>
                <w:szCs w:val="21"/>
              </w:rPr>
            </w:pPr>
            <w:r w:rsidRPr="00A377FC">
              <w:rPr>
                <w:sz w:val="21"/>
                <w:szCs w:val="21"/>
              </w:rPr>
              <w:t xml:space="preserve">Хозяйствующий субъект </w:t>
            </w:r>
            <w:r w:rsidRPr="00A377FC">
              <w:rPr>
                <w:b/>
                <w:sz w:val="21"/>
                <w:szCs w:val="21"/>
              </w:rPr>
              <w:t xml:space="preserve">- </w:t>
            </w:r>
            <w:r w:rsidRPr="00A377FC">
              <w:rPr>
                <w:sz w:val="21"/>
                <w:szCs w:val="21"/>
              </w:rPr>
              <w:t xml:space="preserve"> участник системы </w:t>
            </w:r>
            <w:r w:rsidRPr="00A377FC">
              <w:rPr>
                <w:b/>
                <w:sz w:val="21"/>
                <w:szCs w:val="21"/>
              </w:rPr>
              <w:t>добровольной сертификации продукции и услуг «Сделано на Дону»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B5110" w:rsidRPr="00D55522" w:rsidRDefault="003B5110" w:rsidP="00D55522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55522">
              <w:rPr>
                <w:b/>
                <w:sz w:val="20"/>
                <w:szCs w:val="20"/>
              </w:rPr>
              <w:t xml:space="preserve">Хозяйствующий субъект </w:t>
            </w:r>
            <w:r w:rsidRPr="00D55522">
              <w:rPr>
                <w:sz w:val="20"/>
                <w:szCs w:val="20"/>
              </w:rPr>
              <w:t xml:space="preserve">зарегистрирован </w:t>
            </w:r>
            <w:r w:rsidRPr="00D55522">
              <w:rPr>
                <w:b/>
                <w:sz w:val="20"/>
                <w:szCs w:val="20"/>
              </w:rPr>
              <w:t xml:space="preserve">в реестре предприятий - производителей сертифицированной продукции </w:t>
            </w:r>
            <w:r w:rsidRPr="00D55522">
              <w:rPr>
                <w:sz w:val="20"/>
                <w:szCs w:val="20"/>
              </w:rPr>
              <w:t xml:space="preserve">(реестре предприятий общественного питания),  прошедших </w:t>
            </w:r>
            <w:r w:rsidRPr="00D55522">
              <w:rPr>
                <w:b/>
                <w:sz w:val="20"/>
                <w:szCs w:val="20"/>
              </w:rPr>
              <w:t xml:space="preserve">сертификацию «Сделано на Дону» </w:t>
            </w:r>
            <w:r w:rsidRPr="00D55522">
              <w:rPr>
                <w:sz w:val="20"/>
                <w:szCs w:val="20"/>
              </w:rPr>
              <w:t>по состоянию на дату подачи заявки на поручительство в Фонд;</w:t>
            </w:r>
          </w:p>
        </w:tc>
        <w:tc>
          <w:tcPr>
            <w:tcW w:w="1418" w:type="dxa"/>
            <w:vAlign w:val="center"/>
          </w:tcPr>
          <w:p w:rsidR="003B5110" w:rsidRPr="00D55522" w:rsidRDefault="003B5110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D55522">
              <w:rPr>
                <w:b/>
                <w:sz w:val="22"/>
                <w:szCs w:val="22"/>
              </w:rPr>
              <w:t xml:space="preserve">0,75 % </w:t>
            </w:r>
            <w:r w:rsidRPr="00D55522">
              <w:rPr>
                <w:sz w:val="22"/>
                <w:szCs w:val="22"/>
              </w:rPr>
              <w:t>годовых</w:t>
            </w:r>
          </w:p>
          <w:p w:rsidR="003B5110" w:rsidRPr="00D55522" w:rsidRDefault="003B5110" w:rsidP="008B3BB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D5552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3B5110" w:rsidRPr="002B45C5" w:rsidTr="00906B68">
        <w:trPr>
          <w:trHeight w:val="1500"/>
        </w:trPr>
        <w:tc>
          <w:tcPr>
            <w:tcW w:w="425" w:type="dxa"/>
            <w:tcBorders>
              <w:right w:val="single" w:sz="4" w:space="0" w:color="auto"/>
            </w:tcBorders>
          </w:tcPr>
          <w:p w:rsidR="003B5110" w:rsidRPr="00D55522" w:rsidRDefault="003B5110" w:rsidP="00395783">
            <w:pPr>
              <w:ind w:left="-108" w:right="-108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3.1.</w:t>
            </w:r>
            <w:r w:rsidR="00395783">
              <w:rPr>
                <w:b/>
                <w:sz w:val="18"/>
                <w:szCs w:val="18"/>
              </w:rPr>
              <w:t>7</w:t>
            </w:r>
            <w:r>
              <w:rPr>
                <w:b/>
                <w:sz w:val="18"/>
                <w:szCs w:val="18"/>
              </w:rPr>
              <w:t>.</w:t>
            </w:r>
          </w:p>
        </w:tc>
        <w:tc>
          <w:tcPr>
            <w:tcW w:w="3119" w:type="dxa"/>
            <w:tcBorders>
              <w:right w:val="single" w:sz="4" w:space="0" w:color="auto"/>
            </w:tcBorders>
            <w:vAlign w:val="center"/>
          </w:tcPr>
          <w:p w:rsidR="003B5110" w:rsidRDefault="003B5110" w:rsidP="008B3BB0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55522">
              <w:rPr>
                <w:sz w:val="22"/>
                <w:szCs w:val="22"/>
              </w:rPr>
              <w:t xml:space="preserve">Хозяйствующий субъект – </w:t>
            </w:r>
          </w:p>
          <w:p w:rsidR="003B5110" w:rsidRPr="00D55522" w:rsidRDefault="003B5110" w:rsidP="00D55522">
            <w:pPr>
              <w:pStyle w:val="a5"/>
              <w:ind w:left="0"/>
              <w:rPr>
                <w:b/>
                <w:sz w:val="21"/>
                <w:szCs w:val="21"/>
              </w:rPr>
            </w:pPr>
            <w:r w:rsidRPr="00D55522">
              <w:rPr>
                <w:b/>
                <w:sz w:val="21"/>
                <w:szCs w:val="21"/>
              </w:rPr>
              <w:t xml:space="preserve">«с положительной историей» </w:t>
            </w:r>
          </w:p>
          <w:p w:rsidR="003B5110" w:rsidRPr="00D55522" w:rsidRDefault="003B5110" w:rsidP="008B3BB0">
            <w:pPr>
              <w:pStyle w:val="a5"/>
              <w:ind w:left="0"/>
              <w:jc w:val="both"/>
              <w:rPr>
                <w:sz w:val="22"/>
                <w:szCs w:val="22"/>
              </w:rPr>
            </w:pPr>
            <w:r w:rsidRPr="00D55522">
              <w:rPr>
                <w:sz w:val="22"/>
                <w:szCs w:val="22"/>
              </w:rPr>
              <w:t xml:space="preserve">(в Фонде) 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vAlign w:val="center"/>
          </w:tcPr>
          <w:p w:rsidR="003B5110" w:rsidRPr="00D55522" w:rsidRDefault="003B5110" w:rsidP="00190EBE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D55522">
              <w:rPr>
                <w:b/>
                <w:sz w:val="20"/>
                <w:szCs w:val="20"/>
              </w:rPr>
              <w:t>Хозяйствующий субъект</w:t>
            </w:r>
            <w:r w:rsidRPr="00D55522">
              <w:rPr>
                <w:sz w:val="20"/>
                <w:szCs w:val="20"/>
              </w:rPr>
              <w:t xml:space="preserve"> на дату подачи заявки на поручительство имеет портфель закрытых, т.е. исполненных договоров (без фактов нарушения условий договоров поручительства и обеспеченных поручительством основных договоров) в количестве не менее </w:t>
            </w:r>
            <w:r w:rsidRPr="00190EBE">
              <w:rPr>
                <w:b/>
                <w:sz w:val="20"/>
                <w:szCs w:val="20"/>
              </w:rPr>
              <w:t>2-х</w:t>
            </w:r>
            <w:r w:rsidRPr="00D55522">
              <w:rPr>
                <w:b/>
                <w:sz w:val="20"/>
                <w:szCs w:val="20"/>
              </w:rPr>
              <w:t xml:space="preserve"> (</w:t>
            </w:r>
            <w:r>
              <w:rPr>
                <w:b/>
                <w:sz w:val="20"/>
                <w:szCs w:val="20"/>
              </w:rPr>
              <w:t>двух</w:t>
            </w:r>
            <w:r w:rsidRPr="00D55522">
              <w:rPr>
                <w:b/>
                <w:sz w:val="20"/>
                <w:szCs w:val="20"/>
              </w:rPr>
              <w:t xml:space="preserve">) договоров поручительства </w:t>
            </w:r>
            <w:r w:rsidRPr="00D55522">
              <w:rPr>
                <w:sz w:val="20"/>
                <w:szCs w:val="20"/>
              </w:rPr>
              <w:t>(в совокупности по всем программам, продуктам)</w:t>
            </w:r>
            <w:r>
              <w:rPr>
                <w:sz w:val="20"/>
                <w:szCs w:val="20"/>
              </w:rPr>
              <w:t>.</w:t>
            </w:r>
            <w:r w:rsidRPr="00D5552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3B5110" w:rsidRPr="00D55522" w:rsidRDefault="003B5110" w:rsidP="008B3BB0">
            <w:pPr>
              <w:ind w:firstLine="34"/>
              <w:jc w:val="center"/>
              <w:rPr>
                <w:b/>
                <w:sz w:val="22"/>
                <w:szCs w:val="22"/>
              </w:rPr>
            </w:pPr>
            <w:r w:rsidRPr="00D55522">
              <w:rPr>
                <w:b/>
                <w:sz w:val="22"/>
                <w:szCs w:val="22"/>
              </w:rPr>
              <w:t>0,75 %</w:t>
            </w:r>
          </w:p>
          <w:p w:rsidR="003B5110" w:rsidRPr="00D55522" w:rsidRDefault="003B5110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D55522">
              <w:rPr>
                <w:sz w:val="22"/>
                <w:szCs w:val="22"/>
              </w:rPr>
              <w:t>годовых</w:t>
            </w:r>
          </w:p>
          <w:p w:rsidR="003B5110" w:rsidRPr="00D55522" w:rsidRDefault="003B5110" w:rsidP="008B3BB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D55522">
              <w:rPr>
                <w:sz w:val="17"/>
                <w:szCs w:val="17"/>
              </w:rPr>
              <w:t>от суммы поручительства</w:t>
            </w:r>
          </w:p>
        </w:tc>
      </w:tr>
    </w:tbl>
    <w:p w:rsidR="003429D1" w:rsidRDefault="003429D1" w:rsidP="003429D1">
      <w:pPr>
        <w:pStyle w:val="a5"/>
        <w:tabs>
          <w:tab w:val="left" w:pos="1134"/>
          <w:tab w:val="left" w:pos="1276"/>
        </w:tabs>
        <w:ind w:left="709"/>
        <w:jc w:val="both"/>
        <w:rPr>
          <w:b/>
        </w:rPr>
      </w:pPr>
    </w:p>
    <w:p w:rsidR="00DE0DD3" w:rsidRPr="009302DF" w:rsidRDefault="00DE0DD3" w:rsidP="009302DF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b/>
        </w:rPr>
      </w:pPr>
      <w:r w:rsidRPr="009302DF">
        <w:rPr>
          <w:b/>
        </w:rPr>
        <w:t>Перечень приоритетных продуктов</w:t>
      </w:r>
      <w:r w:rsidR="007F1C4C" w:rsidRPr="009302DF">
        <w:rPr>
          <w:b/>
        </w:rPr>
        <w:t xml:space="preserve"> поручительства Фонда</w:t>
      </w:r>
      <w:r w:rsidRPr="009302DF">
        <w:rPr>
          <w:b/>
        </w:rPr>
        <w:t xml:space="preserve"> </w:t>
      </w:r>
      <w:r w:rsidRPr="002B45C5">
        <w:t xml:space="preserve">и применяемые ставки вознаграждения за поручительство приведены в Таблице № </w:t>
      </w:r>
      <w:r>
        <w:t>2</w:t>
      </w:r>
      <w:r w:rsidRPr="002B45C5">
        <w:t>:</w:t>
      </w:r>
    </w:p>
    <w:p w:rsidR="00DE0DD3" w:rsidRPr="009F19DD" w:rsidRDefault="007B40F8" w:rsidP="006A213D">
      <w:pPr>
        <w:pStyle w:val="a5"/>
        <w:ind w:left="360" w:firstLine="689"/>
        <w:jc w:val="right"/>
        <w:rPr>
          <w:sz w:val="20"/>
          <w:szCs w:val="20"/>
        </w:rPr>
      </w:pPr>
      <w:r w:rsidRPr="009F19DD">
        <w:rPr>
          <w:i/>
          <w:sz w:val="20"/>
          <w:szCs w:val="20"/>
        </w:rPr>
        <w:t>Таблица № 2</w:t>
      </w:r>
    </w:p>
    <w:tbl>
      <w:tblPr>
        <w:tblStyle w:val="10"/>
        <w:tblW w:w="11199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25"/>
        <w:gridCol w:w="2694"/>
        <w:gridCol w:w="6662"/>
        <w:gridCol w:w="1418"/>
      </w:tblGrid>
      <w:tr w:rsidR="00DE0DD3" w:rsidRPr="002B45C5" w:rsidTr="00726953">
        <w:trPr>
          <w:trHeight w:val="830"/>
        </w:trPr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:rsidR="00DE0DD3" w:rsidRPr="002B45C5" w:rsidRDefault="00DE0DD3" w:rsidP="006A213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single" w:sz="4" w:color="auto"/>
              </w:pBdr>
              <w:ind w:firstLine="689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 xml:space="preserve">№ </w:t>
            </w:r>
            <w:proofErr w:type="gramStart"/>
            <w:r w:rsidRPr="002B45C5">
              <w:rPr>
                <w:b/>
                <w:sz w:val="20"/>
                <w:szCs w:val="20"/>
              </w:rPr>
              <w:t>п</w:t>
            </w:r>
            <w:proofErr w:type="gramEnd"/>
            <w:r w:rsidRPr="002B45C5">
              <w:rPr>
                <w:b/>
                <w:sz w:val="20"/>
                <w:szCs w:val="20"/>
              </w:rPr>
              <w:t>/п</w:t>
            </w:r>
          </w:p>
          <w:p w:rsidR="00DE0DD3" w:rsidRPr="002B45C5" w:rsidRDefault="00DE0DD3" w:rsidP="006A213D">
            <w:pPr>
              <w:ind w:firstLine="68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  <w:vAlign w:val="center"/>
          </w:tcPr>
          <w:p w:rsidR="00DE0DD3" w:rsidRPr="002B45C5" w:rsidRDefault="00DE0DD3" w:rsidP="008B3BB0">
            <w:pPr>
              <w:ind w:firstLine="3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</w:t>
            </w:r>
            <w:r w:rsidRPr="002B45C5">
              <w:rPr>
                <w:b/>
                <w:sz w:val="20"/>
                <w:szCs w:val="20"/>
              </w:rPr>
              <w:t xml:space="preserve">риоритетный продукт </w:t>
            </w:r>
          </w:p>
        </w:tc>
        <w:tc>
          <w:tcPr>
            <w:tcW w:w="6662" w:type="dxa"/>
            <w:tcBorders>
              <w:top w:val="single" w:sz="4" w:space="0" w:color="auto"/>
            </w:tcBorders>
            <w:vAlign w:val="center"/>
          </w:tcPr>
          <w:p w:rsidR="00DE0DD3" w:rsidRPr="002B45C5" w:rsidRDefault="00DE0DD3" w:rsidP="008B3BB0">
            <w:pPr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Условия, определяющие соответствие Хозяйствующего субъекта приоритетно</w:t>
            </w:r>
            <w:r>
              <w:rPr>
                <w:b/>
                <w:sz w:val="20"/>
                <w:szCs w:val="20"/>
              </w:rPr>
              <w:t>му продукту,</w:t>
            </w:r>
            <w:r w:rsidRPr="002B45C5">
              <w:rPr>
                <w:b/>
                <w:sz w:val="20"/>
                <w:szCs w:val="20"/>
              </w:rPr>
              <w:t xml:space="preserve"> подтверждающие документы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E0DD3" w:rsidRPr="008B3BB0" w:rsidRDefault="00DE0DD3" w:rsidP="008B3BB0">
            <w:pPr>
              <w:ind w:firstLine="34"/>
              <w:jc w:val="center"/>
              <w:rPr>
                <w:b/>
                <w:sz w:val="16"/>
                <w:szCs w:val="16"/>
              </w:rPr>
            </w:pPr>
            <w:r w:rsidRPr="008B3BB0">
              <w:rPr>
                <w:b/>
                <w:sz w:val="16"/>
                <w:szCs w:val="16"/>
              </w:rPr>
              <w:t xml:space="preserve">Ставка вознаграждения за поручительство </w:t>
            </w:r>
            <w:r w:rsidRPr="008B3BB0">
              <w:rPr>
                <w:sz w:val="16"/>
                <w:szCs w:val="16"/>
              </w:rPr>
              <w:t>(% годовых)</w:t>
            </w:r>
          </w:p>
        </w:tc>
      </w:tr>
      <w:tr w:rsidR="00DE0DD3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  <w:vAlign w:val="center"/>
          </w:tcPr>
          <w:p w:rsidR="00DE0DD3" w:rsidRPr="002B45C5" w:rsidRDefault="00DE0DD3" w:rsidP="005F3280">
            <w:pPr>
              <w:ind w:left="-108" w:right="-108" w:firstLine="797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DE0DD3" w:rsidRPr="002B45C5" w:rsidRDefault="00DE0DD3" w:rsidP="008B3BB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DE0DD3" w:rsidRPr="002B45C5" w:rsidRDefault="00DE0DD3" w:rsidP="008B3BB0">
            <w:pPr>
              <w:ind w:firstLine="176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1418" w:type="dxa"/>
            <w:vAlign w:val="center"/>
          </w:tcPr>
          <w:p w:rsidR="00DE0DD3" w:rsidRPr="002B45C5" w:rsidRDefault="00DE0DD3" w:rsidP="008B3BB0">
            <w:pPr>
              <w:ind w:firstLine="34"/>
              <w:jc w:val="center"/>
              <w:rPr>
                <w:b/>
                <w:sz w:val="20"/>
                <w:szCs w:val="20"/>
              </w:rPr>
            </w:pPr>
            <w:r w:rsidRPr="002B45C5">
              <w:rPr>
                <w:b/>
                <w:sz w:val="20"/>
                <w:szCs w:val="20"/>
              </w:rPr>
              <w:t>4</w:t>
            </w:r>
          </w:p>
        </w:tc>
      </w:tr>
      <w:tr w:rsidR="004852E2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4852E2" w:rsidRPr="00820AB3" w:rsidRDefault="004852E2" w:rsidP="00FF0B9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820AB3">
              <w:rPr>
                <w:b/>
                <w:sz w:val="18"/>
                <w:szCs w:val="18"/>
              </w:rPr>
              <w:t>33.2.1.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A576D" w:rsidRDefault="004852E2" w:rsidP="007A576D">
            <w:pPr>
              <w:pStyle w:val="a5"/>
              <w:ind w:left="0" w:firstLine="34"/>
              <w:jc w:val="both"/>
              <w:rPr>
                <w:b/>
                <w:sz w:val="22"/>
                <w:szCs w:val="22"/>
                <w:lang w:val="en-US"/>
              </w:rPr>
            </w:pPr>
            <w:r w:rsidRPr="00820AB3">
              <w:rPr>
                <w:sz w:val="22"/>
                <w:szCs w:val="22"/>
              </w:rPr>
              <w:t xml:space="preserve"> </w:t>
            </w:r>
            <w:r w:rsidRPr="00820AB3">
              <w:rPr>
                <w:b/>
                <w:sz w:val="22"/>
                <w:szCs w:val="22"/>
              </w:rPr>
              <w:t>«ЭКСТРЕННЫЙ»</w:t>
            </w:r>
            <w:r w:rsidR="00751DDB" w:rsidRPr="00820AB3">
              <w:rPr>
                <w:b/>
                <w:sz w:val="22"/>
                <w:szCs w:val="22"/>
              </w:rPr>
              <w:t xml:space="preserve"> </w:t>
            </w:r>
          </w:p>
          <w:p w:rsidR="004852E2" w:rsidRPr="00726953" w:rsidRDefault="00751DDB" w:rsidP="00190EBE">
            <w:pPr>
              <w:pStyle w:val="a5"/>
              <w:ind w:left="0" w:firstLine="34"/>
              <w:jc w:val="both"/>
              <w:rPr>
                <w:sz w:val="17"/>
                <w:szCs w:val="17"/>
              </w:rPr>
            </w:pPr>
            <w:proofErr w:type="gramStart"/>
            <w:r w:rsidRPr="00726953">
              <w:rPr>
                <w:i/>
                <w:sz w:val="17"/>
                <w:szCs w:val="17"/>
              </w:rPr>
              <w:t xml:space="preserve">(продукт по </w:t>
            </w:r>
            <w:r w:rsidR="00665FD9" w:rsidRPr="00726953">
              <w:rPr>
                <w:i/>
                <w:sz w:val="17"/>
                <w:szCs w:val="17"/>
              </w:rPr>
              <w:t>П</w:t>
            </w:r>
            <w:r w:rsidRPr="00726953">
              <w:rPr>
                <w:i/>
                <w:sz w:val="17"/>
                <w:szCs w:val="17"/>
              </w:rPr>
              <w:t>рограмме</w:t>
            </w:r>
            <w:r w:rsidR="00665FD9" w:rsidRPr="00726953">
              <w:rPr>
                <w:i/>
                <w:sz w:val="17"/>
                <w:szCs w:val="17"/>
              </w:rPr>
              <w:t xml:space="preserve"> Фонда</w:t>
            </w:r>
            <w:r w:rsidR="00726953">
              <w:rPr>
                <w:i/>
                <w:sz w:val="17"/>
                <w:szCs w:val="17"/>
              </w:rPr>
              <w:t>:</w:t>
            </w:r>
            <w:proofErr w:type="gramEnd"/>
            <w:r w:rsidR="00726953">
              <w:rPr>
                <w:i/>
                <w:sz w:val="17"/>
                <w:szCs w:val="17"/>
              </w:rPr>
              <w:t xml:space="preserve"> </w:t>
            </w:r>
            <w:proofErr w:type="gramStart"/>
            <w:r w:rsidR="00726953">
              <w:rPr>
                <w:i/>
                <w:sz w:val="17"/>
                <w:szCs w:val="17"/>
              </w:rPr>
              <w:t>«Предоставление поручительства</w:t>
            </w:r>
            <w:r w:rsidRPr="00726953">
              <w:rPr>
                <w:i/>
                <w:sz w:val="17"/>
                <w:szCs w:val="17"/>
              </w:rPr>
              <w:t xml:space="preserve"> </w:t>
            </w:r>
            <w:r w:rsidR="00726953">
              <w:rPr>
                <w:i/>
                <w:sz w:val="17"/>
                <w:szCs w:val="17"/>
              </w:rPr>
              <w:t xml:space="preserve">НКО «Гарантийный фонд РО» </w:t>
            </w:r>
            <w:r w:rsidR="00665FD9" w:rsidRPr="00726953">
              <w:rPr>
                <w:i/>
                <w:sz w:val="17"/>
                <w:szCs w:val="17"/>
              </w:rPr>
              <w:t xml:space="preserve">в обеспечение </w:t>
            </w:r>
            <w:r w:rsidR="00665FD9" w:rsidRPr="00726953">
              <w:rPr>
                <w:b/>
                <w:i/>
                <w:sz w:val="17"/>
                <w:szCs w:val="17"/>
              </w:rPr>
              <w:t>к</w:t>
            </w:r>
            <w:r w:rsidRPr="00726953">
              <w:rPr>
                <w:b/>
                <w:i/>
                <w:sz w:val="17"/>
                <w:szCs w:val="17"/>
              </w:rPr>
              <w:t>редитны</w:t>
            </w:r>
            <w:r w:rsidR="00665FD9" w:rsidRPr="00726953">
              <w:rPr>
                <w:b/>
                <w:i/>
                <w:sz w:val="17"/>
                <w:szCs w:val="17"/>
              </w:rPr>
              <w:t>х</w:t>
            </w:r>
            <w:r w:rsidRPr="00726953">
              <w:rPr>
                <w:b/>
                <w:i/>
                <w:sz w:val="17"/>
                <w:szCs w:val="17"/>
              </w:rPr>
              <w:t xml:space="preserve"> договор</w:t>
            </w:r>
            <w:r w:rsidR="00665FD9" w:rsidRPr="00726953">
              <w:rPr>
                <w:b/>
                <w:i/>
                <w:sz w:val="17"/>
                <w:szCs w:val="17"/>
              </w:rPr>
              <w:t>ов</w:t>
            </w:r>
            <w:r w:rsidR="00190EBE">
              <w:rPr>
                <w:b/>
                <w:i/>
                <w:sz w:val="17"/>
                <w:szCs w:val="17"/>
              </w:rPr>
              <w:t xml:space="preserve"> и</w:t>
            </w:r>
            <w:r w:rsidRPr="00726953">
              <w:rPr>
                <w:b/>
                <w:i/>
                <w:sz w:val="17"/>
                <w:szCs w:val="17"/>
              </w:rPr>
              <w:t xml:space="preserve"> </w:t>
            </w:r>
            <w:r w:rsidRPr="003429D1">
              <w:rPr>
                <w:b/>
                <w:i/>
                <w:sz w:val="17"/>
                <w:szCs w:val="17"/>
              </w:rPr>
              <w:t>договор</w:t>
            </w:r>
            <w:r w:rsidR="00190EBE" w:rsidRPr="003429D1">
              <w:rPr>
                <w:b/>
                <w:i/>
                <w:sz w:val="17"/>
                <w:szCs w:val="17"/>
              </w:rPr>
              <w:t>ов</w:t>
            </w:r>
            <w:r w:rsidRPr="003429D1">
              <w:rPr>
                <w:b/>
                <w:i/>
                <w:sz w:val="17"/>
                <w:szCs w:val="17"/>
              </w:rPr>
              <w:t xml:space="preserve"> займа</w:t>
            </w:r>
            <w:r w:rsidR="00726953" w:rsidRPr="003429D1">
              <w:rPr>
                <w:b/>
                <w:i/>
                <w:sz w:val="17"/>
                <w:szCs w:val="17"/>
              </w:rPr>
              <w:t>»</w:t>
            </w:r>
            <w:r w:rsidRPr="003429D1">
              <w:rPr>
                <w:i/>
                <w:sz w:val="17"/>
                <w:szCs w:val="17"/>
              </w:rPr>
              <w:t>)</w:t>
            </w:r>
            <w:r w:rsidRPr="00726953">
              <w:rPr>
                <w:b/>
                <w:sz w:val="17"/>
                <w:szCs w:val="17"/>
              </w:rPr>
              <w:t xml:space="preserve"> 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4852E2" w:rsidRPr="00820AB3" w:rsidRDefault="004852E2" w:rsidP="00820AB3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820AB3">
              <w:rPr>
                <w:sz w:val="20"/>
                <w:szCs w:val="20"/>
              </w:rPr>
              <w:t xml:space="preserve">При соответствии </w:t>
            </w:r>
            <w:r w:rsidR="00820AB3">
              <w:rPr>
                <w:sz w:val="20"/>
                <w:szCs w:val="20"/>
              </w:rPr>
              <w:t>з</w:t>
            </w:r>
            <w:r w:rsidRPr="00820AB3">
              <w:rPr>
                <w:sz w:val="20"/>
                <w:szCs w:val="20"/>
              </w:rPr>
              <w:t xml:space="preserve">аявки на поручительство </w:t>
            </w:r>
            <w:r w:rsidRPr="00820AB3">
              <w:rPr>
                <w:b/>
                <w:sz w:val="20"/>
                <w:szCs w:val="20"/>
              </w:rPr>
              <w:t>условиям,  установленным по продукту Фонда: «ЭКСТРЕННЫЙ»</w:t>
            </w:r>
            <w:r w:rsidRPr="00820AB3">
              <w:rPr>
                <w:sz w:val="20"/>
                <w:szCs w:val="20"/>
              </w:rPr>
              <w:t xml:space="preserve">  в </w:t>
            </w:r>
            <w:r w:rsidRPr="00820AB3">
              <w:rPr>
                <w:b/>
                <w:sz w:val="20"/>
                <w:szCs w:val="20"/>
              </w:rPr>
              <w:t>Приложении № 2</w:t>
            </w:r>
            <w:r w:rsidRPr="00820AB3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726953">
              <w:rPr>
                <w:b/>
                <w:sz w:val="20"/>
                <w:szCs w:val="20"/>
              </w:rPr>
              <w:t>кредитных договоров и договоров займа;</w:t>
            </w:r>
          </w:p>
        </w:tc>
        <w:tc>
          <w:tcPr>
            <w:tcW w:w="1418" w:type="dxa"/>
            <w:vAlign w:val="center"/>
          </w:tcPr>
          <w:p w:rsidR="004852E2" w:rsidRPr="00820AB3" w:rsidRDefault="004852E2" w:rsidP="00FF0B9A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>0,5 %</w:t>
            </w:r>
            <w:r w:rsidRPr="00820AB3">
              <w:rPr>
                <w:sz w:val="22"/>
                <w:szCs w:val="22"/>
              </w:rPr>
              <w:t xml:space="preserve"> </w:t>
            </w:r>
          </w:p>
          <w:p w:rsidR="004852E2" w:rsidRPr="00820AB3" w:rsidRDefault="004852E2" w:rsidP="00FF0B9A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sz w:val="22"/>
                <w:szCs w:val="22"/>
              </w:rPr>
              <w:t>годовых</w:t>
            </w:r>
          </w:p>
          <w:p w:rsidR="004852E2" w:rsidRPr="004E18D2" w:rsidRDefault="004852E2" w:rsidP="00FF0B9A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F70522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F70522" w:rsidRPr="00820AB3" w:rsidRDefault="00F70522" w:rsidP="00FF0B9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820AB3">
              <w:rPr>
                <w:b/>
                <w:sz w:val="18"/>
                <w:szCs w:val="18"/>
              </w:rPr>
              <w:t>33.2.2.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7A576D" w:rsidRDefault="00F70522" w:rsidP="00665FD9">
            <w:pPr>
              <w:pStyle w:val="a5"/>
              <w:ind w:left="0" w:firstLine="34"/>
              <w:jc w:val="both"/>
              <w:rPr>
                <w:b/>
                <w:sz w:val="22"/>
                <w:szCs w:val="22"/>
                <w:lang w:val="en-US"/>
              </w:rPr>
            </w:pPr>
            <w:r w:rsidRPr="00820AB3">
              <w:rPr>
                <w:b/>
                <w:sz w:val="22"/>
                <w:szCs w:val="22"/>
              </w:rPr>
              <w:t xml:space="preserve">«ЭКСТРЕННЫЙ» </w:t>
            </w:r>
          </w:p>
          <w:p w:rsidR="00F70522" w:rsidRPr="007A576D" w:rsidRDefault="00726953" w:rsidP="00726953">
            <w:pPr>
              <w:pStyle w:val="a5"/>
              <w:ind w:left="0" w:firstLine="34"/>
              <w:jc w:val="both"/>
              <w:rPr>
                <w:i/>
                <w:sz w:val="22"/>
                <w:szCs w:val="22"/>
              </w:rPr>
            </w:pPr>
            <w:proofErr w:type="gramStart"/>
            <w:r w:rsidRPr="00726953">
              <w:rPr>
                <w:i/>
                <w:sz w:val="17"/>
                <w:szCs w:val="17"/>
              </w:rPr>
              <w:t>(продукт по Программе Фонда</w:t>
            </w:r>
            <w:r>
              <w:rPr>
                <w:i/>
                <w:sz w:val="17"/>
                <w:szCs w:val="17"/>
              </w:rPr>
              <w:t>:</w:t>
            </w:r>
            <w:proofErr w:type="gramEnd"/>
            <w:r>
              <w:rPr>
                <w:i/>
                <w:sz w:val="17"/>
                <w:szCs w:val="17"/>
              </w:rPr>
              <w:t xml:space="preserve"> </w:t>
            </w:r>
            <w:proofErr w:type="gramStart"/>
            <w:r>
              <w:rPr>
                <w:i/>
                <w:sz w:val="17"/>
                <w:szCs w:val="17"/>
              </w:rPr>
              <w:t>«Предоставление поручительства</w:t>
            </w:r>
            <w:r w:rsidRPr="00726953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НКО «Гарантийный фонд РО» </w:t>
            </w:r>
            <w:r w:rsidRPr="00726953">
              <w:rPr>
                <w:i/>
                <w:sz w:val="17"/>
                <w:szCs w:val="17"/>
              </w:rPr>
              <w:t xml:space="preserve">в обеспечение </w:t>
            </w:r>
            <w:r w:rsidR="00F70522" w:rsidRPr="00726953">
              <w:rPr>
                <w:b/>
                <w:i/>
                <w:sz w:val="17"/>
                <w:szCs w:val="17"/>
              </w:rPr>
              <w:t>договор</w:t>
            </w:r>
            <w:r w:rsidR="00665FD9" w:rsidRPr="00726953">
              <w:rPr>
                <w:b/>
                <w:i/>
                <w:sz w:val="17"/>
                <w:szCs w:val="17"/>
              </w:rPr>
              <w:t>ов</w:t>
            </w:r>
            <w:r w:rsidR="00F70522" w:rsidRPr="00726953">
              <w:rPr>
                <w:b/>
                <w:i/>
                <w:sz w:val="17"/>
                <w:szCs w:val="17"/>
              </w:rPr>
              <w:t xml:space="preserve"> о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  <w:r w:rsidR="00F70522" w:rsidRPr="00726953">
              <w:rPr>
                <w:b/>
                <w:i/>
                <w:sz w:val="17"/>
                <w:szCs w:val="17"/>
              </w:rPr>
              <w:t>предоставлении банковской</w:t>
            </w:r>
            <w:r>
              <w:rPr>
                <w:b/>
                <w:i/>
                <w:sz w:val="17"/>
                <w:szCs w:val="17"/>
              </w:rPr>
              <w:t xml:space="preserve"> </w:t>
            </w:r>
            <w:r w:rsidR="00F70522" w:rsidRPr="00726953">
              <w:rPr>
                <w:b/>
                <w:i/>
                <w:sz w:val="17"/>
                <w:szCs w:val="17"/>
              </w:rPr>
              <w:t>гарантии</w:t>
            </w:r>
            <w:r>
              <w:rPr>
                <w:b/>
                <w:i/>
                <w:sz w:val="17"/>
                <w:szCs w:val="17"/>
              </w:rPr>
              <w:t>»</w:t>
            </w:r>
            <w:r w:rsidR="00F70522" w:rsidRPr="00726953">
              <w:rPr>
                <w:i/>
                <w:sz w:val="17"/>
                <w:szCs w:val="17"/>
              </w:rPr>
              <w:t>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F70522" w:rsidRPr="00820AB3" w:rsidRDefault="00F70522" w:rsidP="00D73E87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820AB3">
              <w:rPr>
                <w:sz w:val="20"/>
                <w:szCs w:val="20"/>
              </w:rPr>
              <w:t xml:space="preserve">При соответствии </w:t>
            </w:r>
            <w:r w:rsidR="00D73E87">
              <w:rPr>
                <w:sz w:val="20"/>
                <w:szCs w:val="20"/>
              </w:rPr>
              <w:t>з</w:t>
            </w:r>
            <w:r w:rsidRPr="00820AB3">
              <w:rPr>
                <w:sz w:val="20"/>
                <w:szCs w:val="20"/>
              </w:rPr>
              <w:t xml:space="preserve">аявки на поручительство </w:t>
            </w:r>
            <w:r w:rsidRPr="00820AB3">
              <w:rPr>
                <w:b/>
                <w:sz w:val="20"/>
                <w:szCs w:val="20"/>
              </w:rPr>
              <w:t>условиям,  установленным по продукту Фонда: «ЭКСТРЕННЫЙ»</w:t>
            </w:r>
            <w:r w:rsidRPr="00820AB3">
              <w:rPr>
                <w:sz w:val="20"/>
                <w:szCs w:val="20"/>
              </w:rPr>
              <w:t xml:space="preserve">  в </w:t>
            </w:r>
            <w:r w:rsidRPr="00820AB3">
              <w:rPr>
                <w:b/>
                <w:sz w:val="20"/>
                <w:szCs w:val="20"/>
              </w:rPr>
              <w:t>Приложении № 2</w:t>
            </w:r>
            <w:r w:rsidRPr="00820AB3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726953">
              <w:rPr>
                <w:b/>
                <w:sz w:val="20"/>
                <w:szCs w:val="20"/>
              </w:rPr>
              <w:t>договоров о предоставлении банковской гарантии</w:t>
            </w:r>
            <w:r w:rsidRPr="00820AB3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F70522" w:rsidRPr="00820AB3" w:rsidRDefault="00F70522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>0,5 %</w:t>
            </w:r>
            <w:r w:rsidRPr="00820AB3">
              <w:rPr>
                <w:sz w:val="22"/>
                <w:szCs w:val="22"/>
              </w:rPr>
              <w:t xml:space="preserve"> </w:t>
            </w:r>
          </w:p>
          <w:p w:rsidR="00F70522" w:rsidRPr="00820AB3" w:rsidRDefault="00F70522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sz w:val="22"/>
                <w:szCs w:val="22"/>
              </w:rPr>
              <w:t>годовых</w:t>
            </w:r>
          </w:p>
          <w:p w:rsidR="00F70522" w:rsidRPr="004E18D2" w:rsidRDefault="00F70522" w:rsidP="008B3BB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8D6D10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8D6D10" w:rsidRPr="00190EBE" w:rsidRDefault="008D6D10" w:rsidP="008D6D10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33.2.3.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D10" w:rsidRDefault="008D6D10" w:rsidP="00665FD9">
            <w:pPr>
              <w:pStyle w:val="a5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190EBE">
              <w:rPr>
                <w:b/>
                <w:sz w:val="22"/>
                <w:szCs w:val="22"/>
              </w:rPr>
              <w:t>«СТАРТ»</w:t>
            </w:r>
          </w:p>
          <w:p w:rsidR="00190EBE" w:rsidRPr="00190EBE" w:rsidRDefault="00190EBE" w:rsidP="00E63BDE">
            <w:pPr>
              <w:pStyle w:val="a5"/>
              <w:ind w:left="0" w:firstLine="34"/>
              <w:jc w:val="both"/>
              <w:rPr>
                <w:b/>
                <w:sz w:val="22"/>
                <w:szCs w:val="22"/>
              </w:rPr>
            </w:pPr>
            <w:proofErr w:type="gramStart"/>
            <w:r w:rsidRPr="00726953">
              <w:rPr>
                <w:i/>
                <w:sz w:val="17"/>
                <w:szCs w:val="17"/>
              </w:rPr>
              <w:t>(продукт по Программе Фонда</w:t>
            </w:r>
            <w:r>
              <w:rPr>
                <w:i/>
                <w:sz w:val="17"/>
                <w:szCs w:val="17"/>
              </w:rPr>
              <w:t>:</w:t>
            </w:r>
            <w:proofErr w:type="gramEnd"/>
            <w:r>
              <w:rPr>
                <w:i/>
                <w:sz w:val="17"/>
                <w:szCs w:val="17"/>
              </w:rPr>
              <w:t xml:space="preserve"> </w:t>
            </w:r>
            <w:proofErr w:type="gramStart"/>
            <w:r>
              <w:rPr>
                <w:i/>
                <w:sz w:val="17"/>
                <w:szCs w:val="17"/>
              </w:rPr>
              <w:t>«Предоставление поручительства</w:t>
            </w:r>
            <w:r w:rsidRPr="00726953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НКО «Гарантийный фонд РО» </w:t>
            </w:r>
            <w:r w:rsidRPr="00726953">
              <w:rPr>
                <w:i/>
                <w:sz w:val="17"/>
                <w:szCs w:val="17"/>
              </w:rPr>
              <w:t xml:space="preserve">в обеспечение </w:t>
            </w:r>
            <w:r w:rsidRPr="00726953">
              <w:rPr>
                <w:b/>
                <w:i/>
                <w:sz w:val="17"/>
                <w:szCs w:val="17"/>
              </w:rPr>
              <w:t>кредитных договоров</w:t>
            </w:r>
            <w:r w:rsidR="00E63BDE">
              <w:rPr>
                <w:b/>
                <w:i/>
                <w:sz w:val="17"/>
                <w:szCs w:val="17"/>
              </w:rPr>
              <w:t xml:space="preserve"> и</w:t>
            </w:r>
            <w:r w:rsidRPr="00726953">
              <w:rPr>
                <w:b/>
                <w:i/>
                <w:sz w:val="17"/>
                <w:szCs w:val="17"/>
              </w:rPr>
              <w:t xml:space="preserve"> договор</w:t>
            </w:r>
            <w:r w:rsidR="00E63BDE">
              <w:rPr>
                <w:b/>
                <w:i/>
                <w:sz w:val="17"/>
                <w:szCs w:val="17"/>
              </w:rPr>
              <w:t>ов</w:t>
            </w:r>
            <w:r w:rsidRPr="00726953">
              <w:rPr>
                <w:b/>
                <w:i/>
                <w:sz w:val="17"/>
                <w:szCs w:val="17"/>
              </w:rPr>
              <w:t xml:space="preserve"> займа</w:t>
            </w:r>
            <w:r>
              <w:rPr>
                <w:b/>
                <w:i/>
                <w:sz w:val="17"/>
                <w:szCs w:val="17"/>
              </w:rPr>
              <w:t>»</w:t>
            </w:r>
            <w:r w:rsidRPr="00726953">
              <w:rPr>
                <w:i/>
                <w:sz w:val="17"/>
                <w:szCs w:val="17"/>
              </w:rPr>
              <w:t>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D6D10" w:rsidRPr="00190EBE" w:rsidRDefault="008D6D10" w:rsidP="007614AA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190EBE">
              <w:rPr>
                <w:sz w:val="20"/>
                <w:szCs w:val="20"/>
              </w:rPr>
              <w:t xml:space="preserve">При соответствии заявки на поручительство </w:t>
            </w:r>
            <w:r w:rsidRPr="00190EBE">
              <w:rPr>
                <w:b/>
                <w:sz w:val="20"/>
                <w:szCs w:val="20"/>
              </w:rPr>
              <w:t>условиям,  установленным по продукту Фонда: «СТАРТ»</w:t>
            </w:r>
            <w:r w:rsidRPr="00190EBE">
              <w:rPr>
                <w:sz w:val="20"/>
                <w:szCs w:val="20"/>
              </w:rPr>
              <w:t xml:space="preserve"> в </w:t>
            </w:r>
            <w:r w:rsidRPr="00190EBE">
              <w:rPr>
                <w:b/>
                <w:sz w:val="20"/>
                <w:szCs w:val="20"/>
              </w:rPr>
              <w:t>Приложении № 2</w:t>
            </w:r>
            <w:r w:rsidRPr="00190EBE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190EBE">
              <w:rPr>
                <w:b/>
                <w:sz w:val="20"/>
                <w:szCs w:val="20"/>
              </w:rPr>
              <w:t>кредитных договоров и договоров займа;</w:t>
            </w:r>
          </w:p>
        </w:tc>
        <w:tc>
          <w:tcPr>
            <w:tcW w:w="1418" w:type="dxa"/>
            <w:vAlign w:val="center"/>
          </w:tcPr>
          <w:p w:rsidR="008D6D10" w:rsidRPr="00190EBE" w:rsidRDefault="008D6D10" w:rsidP="008D6D10">
            <w:pPr>
              <w:ind w:firstLine="34"/>
              <w:jc w:val="center"/>
              <w:rPr>
                <w:sz w:val="22"/>
                <w:szCs w:val="22"/>
              </w:rPr>
            </w:pPr>
            <w:r w:rsidRPr="00190EBE">
              <w:rPr>
                <w:b/>
                <w:sz w:val="22"/>
                <w:szCs w:val="22"/>
              </w:rPr>
              <w:t>0,5 %</w:t>
            </w:r>
            <w:r w:rsidRPr="00190EBE">
              <w:rPr>
                <w:sz w:val="22"/>
                <w:szCs w:val="22"/>
              </w:rPr>
              <w:t xml:space="preserve"> </w:t>
            </w:r>
          </w:p>
          <w:p w:rsidR="008D6D10" w:rsidRPr="00190EBE" w:rsidRDefault="008D6D10" w:rsidP="008D6D10">
            <w:pPr>
              <w:ind w:firstLine="34"/>
              <w:jc w:val="center"/>
              <w:rPr>
                <w:sz w:val="22"/>
                <w:szCs w:val="22"/>
              </w:rPr>
            </w:pPr>
            <w:r w:rsidRPr="00190EBE">
              <w:rPr>
                <w:sz w:val="22"/>
                <w:szCs w:val="22"/>
              </w:rPr>
              <w:t>годовых</w:t>
            </w:r>
          </w:p>
          <w:p w:rsidR="008D6D10" w:rsidRPr="00190EBE" w:rsidRDefault="008D6D10" w:rsidP="008D6D1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190EBE">
              <w:rPr>
                <w:sz w:val="17"/>
                <w:szCs w:val="17"/>
              </w:rPr>
              <w:t>от суммы поручительства</w:t>
            </w:r>
          </w:p>
        </w:tc>
      </w:tr>
      <w:tr w:rsidR="008D6D10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8D6D10" w:rsidRPr="00190EBE" w:rsidRDefault="007614AA" w:rsidP="007614AA">
            <w:pPr>
              <w:pStyle w:val="a5"/>
              <w:numPr>
                <w:ilvl w:val="2"/>
                <w:numId w:val="25"/>
              </w:numPr>
              <w:ind w:left="-108" w:right="-108" w:firstLine="879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33.2.4.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D10" w:rsidRPr="00190EBE" w:rsidRDefault="008D6D10" w:rsidP="007A576D">
            <w:pPr>
              <w:pStyle w:val="a5"/>
              <w:ind w:left="0" w:firstLine="34"/>
              <w:rPr>
                <w:b/>
                <w:sz w:val="22"/>
                <w:szCs w:val="22"/>
                <w:lang w:val="en-US"/>
              </w:rPr>
            </w:pPr>
            <w:r w:rsidRPr="00190EBE">
              <w:rPr>
                <w:b/>
                <w:sz w:val="22"/>
                <w:szCs w:val="22"/>
              </w:rPr>
              <w:t xml:space="preserve">«Поручительство - </w:t>
            </w:r>
            <w:r w:rsidRPr="00190EBE">
              <w:rPr>
                <w:b/>
                <w:sz w:val="20"/>
                <w:szCs w:val="20"/>
              </w:rPr>
              <w:t>ЛИЗИНГ</w:t>
            </w:r>
            <w:r w:rsidRPr="00190EBE">
              <w:rPr>
                <w:b/>
                <w:sz w:val="22"/>
                <w:szCs w:val="22"/>
              </w:rPr>
              <w:t xml:space="preserve">» </w:t>
            </w:r>
          </w:p>
          <w:p w:rsidR="008D6D10" w:rsidRPr="00190EBE" w:rsidRDefault="008D6D10" w:rsidP="00726953">
            <w:pPr>
              <w:pStyle w:val="a5"/>
              <w:ind w:left="0" w:firstLine="34"/>
              <w:rPr>
                <w:b/>
                <w:i/>
                <w:sz w:val="22"/>
                <w:szCs w:val="22"/>
              </w:rPr>
            </w:pPr>
            <w:proofErr w:type="gramStart"/>
            <w:r w:rsidRPr="00190EBE">
              <w:rPr>
                <w:i/>
                <w:sz w:val="20"/>
                <w:szCs w:val="20"/>
              </w:rPr>
              <w:t>(</w:t>
            </w:r>
            <w:r w:rsidRPr="00190EBE">
              <w:rPr>
                <w:i/>
                <w:sz w:val="17"/>
                <w:szCs w:val="17"/>
              </w:rPr>
              <w:t>продукт по Программе Фонда:</w:t>
            </w:r>
            <w:proofErr w:type="gramEnd"/>
            <w:r w:rsidRPr="00190EBE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190EBE">
              <w:rPr>
                <w:i/>
                <w:sz w:val="17"/>
                <w:szCs w:val="17"/>
              </w:rPr>
              <w:t>«Предоставление поручительства НКО «Гарантийный фонд РО» в обеспечение</w:t>
            </w:r>
            <w:r w:rsidRPr="00190EBE">
              <w:rPr>
                <w:i/>
                <w:sz w:val="20"/>
                <w:szCs w:val="20"/>
              </w:rPr>
              <w:t xml:space="preserve"> </w:t>
            </w:r>
            <w:r w:rsidRPr="00190EBE">
              <w:rPr>
                <w:b/>
                <w:i/>
                <w:sz w:val="17"/>
                <w:szCs w:val="17"/>
              </w:rPr>
              <w:t>договоров финансовой аренды (лизинга)»)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D6D10" w:rsidRPr="00190EBE" w:rsidRDefault="008D6D10" w:rsidP="00726953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sz w:val="20"/>
                <w:szCs w:val="20"/>
              </w:rPr>
            </w:pPr>
            <w:r w:rsidRPr="00190EBE">
              <w:rPr>
                <w:sz w:val="20"/>
                <w:szCs w:val="20"/>
              </w:rPr>
              <w:t xml:space="preserve">При соответствии заявки на поручительство </w:t>
            </w:r>
            <w:r w:rsidRPr="00190EBE">
              <w:rPr>
                <w:b/>
                <w:sz w:val="20"/>
                <w:szCs w:val="20"/>
              </w:rPr>
              <w:t>условиям,  установленным по продукту Фонда: «Поручительство - ЛИЗИНГ»</w:t>
            </w:r>
            <w:r w:rsidRPr="00190EBE">
              <w:rPr>
                <w:sz w:val="20"/>
                <w:szCs w:val="20"/>
              </w:rPr>
              <w:t xml:space="preserve"> в </w:t>
            </w:r>
            <w:r w:rsidRPr="00190EBE">
              <w:rPr>
                <w:b/>
                <w:sz w:val="20"/>
                <w:szCs w:val="20"/>
              </w:rPr>
              <w:t>Приложении № 2</w:t>
            </w:r>
            <w:r w:rsidRPr="00190EBE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190EBE">
              <w:rPr>
                <w:b/>
                <w:sz w:val="20"/>
                <w:szCs w:val="20"/>
              </w:rPr>
              <w:t>договоров финансовой аренды (лизинга)</w:t>
            </w:r>
            <w:r w:rsidRPr="00190EBE">
              <w:rPr>
                <w:sz w:val="20"/>
                <w:szCs w:val="20"/>
              </w:rPr>
              <w:t>;</w:t>
            </w:r>
          </w:p>
        </w:tc>
        <w:tc>
          <w:tcPr>
            <w:tcW w:w="1418" w:type="dxa"/>
            <w:vAlign w:val="center"/>
          </w:tcPr>
          <w:p w:rsidR="008D6D10" w:rsidRPr="00820AB3" w:rsidRDefault="008D6D10" w:rsidP="005F3280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>0,5 %</w:t>
            </w:r>
            <w:r w:rsidRPr="00820AB3">
              <w:rPr>
                <w:sz w:val="22"/>
                <w:szCs w:val="22"/>
              </w:rPr>
              <w:t xml:space="preserve"> </w:t>
            </w:r>
          </w:p>
          <w:p w:rsidR="008D6D10" w:rsidRPr="00820AB3" w:rsidRDefault="008D6D10" w:rsidP="005F3280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sz w:val="22"/>
                <w:szCs w:val="22"/>
              </w:rPr>
              <w:t>годовых</w:t>
            </w:r>
          </w:p>
          <w:p w:rsidR="008D6D10" w:rsidRPr="004E18D2" w:rsidRDefault="008D6D10" w:rsidP="005F3280">
            <w:pPr>
              <w:ind w:firstLine="34"/>
              <w:jc w:val="center"/>
              <w:rPr>
                <w:b/>
                <w:sz w:val="17"/>
                <w:szCs w:val="17"/>
                <w:highlight w:val="yellow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8D6D10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8D6D10" w:rsidRPr="00190EBE" w:rsidRDefault="007614AA" w:rsidP="007614A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33.2.5.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D10" w:rsidRPr="00190EBE" w:rsidRDefault="008D6D10" w:rsidP="00FF0B9A">
            <w:pPr>
              <w:pStyle w:val="a5"/>
              <w:ind w:left="0" w:firstLine="34"/>
              <w:jc w:val="both"/>
              <w:rPr>
                <w:b/>
                <w:sz w:val="22"/>
                <w:szCs w:val="22"/>
                <w:lang w:val="en-US"/>
              </w:rPr>
            </w:pPr>
            <w:r w:rsidRPr="00190EBE">
              <w:rPr>
                <w:b/>
                <w:sz w:val="22"/>
                <w:szCs w:val="22"/>
              </w:rPr>
              <w:t>«ГАРАНТИЯ – ГОС»</w:t>
            </w:r>
          </w:p>
          <w:p w:rsidR="008D6D10" w:rsidRPr="00190EBE" w:rsidRDefault="008D6D10" w:rsidP="00FF0B9A">
            <w:pPr>
              <w:pStyle w:val="a5"/>
              <w:ind w:left="0" w:firstLine="34"/>
              <w:jc w:val="both"/>
              <w:rPr>
                <w:b/>
                <w:sz w:val="22"/>
                <w:szCs w:val="22"/>
              </w:rPr>
            </w:pPr>
            <w:proofErr w:type="gramStart"/>
            <w:r w:rsidRPr="00190EBE">
              <w:rPr>
                <w:i/>
                <w:sz w:val="20"/>
                <w:szCs w:val="20"/>
              </w:rPr>
              <w:t>(</w:t>
            </w:r>
            <w:r w:rsidRPr="00190EBE">
              <w:rPr>
                <w:i/>
                <w:sz w:val="17"/>
                <w:szCs w:val="17"/>
              </w:rPr>
              <w:t>продукт по Программе Фонда:</w:t>
            </w:r>
            <w:proofErr w:type="gramEnd"/>
            <w:r w:rsidRPr="00190EBE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190EBE">
              <w:rPr>
                <w:i/>
                <w:sz w:val="17"/>
                <w:szCs w:val="17"/>
              </w:rPr>
              <w:t xml:space="preserve">«Предоставление поручительства НКО «Гарантийный фонд РО» в обеспечение </w:t>
            </w:r>
            <w:r w:rsidRPr="00190EBE">
              <w:rPr>
                <w:b/>
                <w:i/>
                <w:sz w:val="17"/>
                <w:szCs w:val="17"/>
              </w:rPr>
              <w:t>договоров о предоставлении банковской гарантии»</w:t>
            </w:r>
            <w:r w:rsidRPr="00190EBE">
              <w:rPr>
                <w:i/>
                <w:sz w:val="17"/>
                <w:szCs w:val="17"/>
              </w:rPr>
              <w:t>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D6D10" w:rsidRPr="00190EBE" w:rsidRDefault="008D6D10" w:rsidP="00726953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190EBE">
              <w:rPr>
                <w:sz w:val="20"/>
                <w:szCs w:val="20"/>
              </w:rPr>
              <w:t xml:space="preserve">При соответствии заявки на поручительство </w:t>
            </w:r>
            <w:r w:rsidRPr="00190EBE">
              <w:rPr>
                <w:b/>
                <w:sz w:val="20"/>
                <w:szCs w:val="20"/>
              </w:rPr>
              <w:t>условиям,  установленным по продукту Фонда: «ГАРАНТИЯ - ГОС»</w:t>
            </w:r>
            <w:r w:rsidRPr="00190EBE">
              <w:rPr>
                <w:sz w:val="20"/>
                <w:szCs w:val="20"/>
              </w:rPr>
              <w:t xml:space="preserve"> в </w:t>
            </w:r>
            <w:r w:rsidRPr="00190EBE">
              <w:rPr>
                <w:b/>
                <w:sz w:val="20"/>
                <w:szCs w:val="20"/>
              </w:rPr>
              <w:t>Приложении № 2</w:t>
            </w:r>
            <w:r w:rsidRPr="00190EBE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190EBE">
              <w:rPr>
                <w:b/>
                <w:sz w:val="20"/>
                <w:szCs w:val="20"/>
              </w:rPr>
              <w:t>договоров</w:t>
            </w:r>
            <w:r w:rsidRPr="00190EBE">
              <w:rPr>
                <w:sz w:val="20"/>
                <w:szCs w:val="20"/>
              </w:rPr>
              <w:t xml:space="preserve"> </w:t>
            </w:r>
            <w:r w:rsidRPr="00190EBE">
              <w:rPr>
                <w:b/>
                <w:sz w:val="20"/>
                <w:szCs w:val="20"/>
              </w:rPr>
              <w:t>о предоставлении банковской гарантии;</w:t>
            </w:r>
          </w:p>
        </w:tc>
        <w:tc>
          <w:tcPr>
            <w:tcW w:w="1418" w:type="dxa"/>
            <w:vAlign w:val="center"/>
          </w:tcPr>
          <w:p w:rsidR="008D6D10" w:rsidRPr="00820AB3" w:rsidRDefault="008D6D10" w:rsidP="00751DDB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>0,5 %</w:t>
            </w:r>
            <w:r w:rsidRPr="00820AB3">
              <w:rPr>
                <w:sz w:val="22"/>
                <w:szCs w:val="22"/>
              </w:rPr>
              <w:t xml:space="preserve"> </w:t>
            </w:r>
          </w:p>
          <w:p w:rsidR="008D6D10" w:rsidRPr="00820AB3" w:rsidRDefault="008D6D10" w:rsidP="00751DDB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sz w:val="22"/>
                <w:szCs w:val="22"/>
              </w:rPr>
              <w:t>годовых</w:t>
            </w:r>
          </w:p>
          <w:p w:rsidR="008D6D10" w:rsidRPr="004E18D2" w:rsidRDefault="008D6D10" w:rsidP="00751DDB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8D6D10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8D6D10" w:rsidRPr="00190EBE" w:rsidRDefault="007614AA" w:rsidP="007614A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33.2.6.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D6D10" w:rsidRPr="00190EBE" w:rsidRDefault="008D6D10" w:rsidP="00FF0B9A">
            <w:pPr>
              <w:pStyle w:val="a5"/>
              <w:ind w:left="0" w:firstLine="34"/>
              <w:jc w:val="both"/>
              <w:rPr>
                <w:b/>
                <w:sz w:val="22"/>
                <w:szCs w:val="22"/>
                <w:lang w:val="en-US"/>
              </w:rPr>
            </w:pPr>
            <w:r w:rsidRPr="00190EBE">
              <w:rPr>
                <w:b/>
                <w:sz w:val="22"/>
                <w:szCs w:val="22"/>
              </w:rPr>
              <w:t xml:space="preserve">«ГАРАНТИЯ </w:t>
            </w:r>
            <w:r w:rsidR="00883546" w:rsidRPr="00190EBE">
              <w:rPr>
                <w:b/>
                <w:sz w:val="22"/>
                <w:szCs w:val="22"/>
              </w:rPr>
              <w:t>– ПЛЮС</w:t>
            </w:r>
            <w:r w:rsidRPr="00190EBE">
              <w:rPr>
                <w:b/>
                <w:sz w:val="22"/>
                <w:szCs w:val="22"/>
              </w:rPr>
              <w:t>»</w:t>
            </w:r>
          </w:p>
          <w:p w:rsidR="008D6D10" w:rsidRPr="00190EBE" w:rsidRDefault="008D6D10" w:rsidP="00726953">
            <w:pPr>
              <w:pStyle w:val="a5"/>
              <w:ind w:left="0" w:firstLine="34"/>
              <w:jc w:val="both"/>
              <w:rPr>
                <w:sz w:val="22"/>
                <w:szCs w:val="22"/>
              </w:rPr>
            </w:pPr>
            <w:proofErr w:type="gramStart"/>
            <w:r w:rsidRPr="00190EBE">
              <w:rPr>
                <w:i/>
                <w:sz w:val="17"/>
                <w:szCs w:val="17"/>
              </w:rPr>
              <w:t>(продукт по Программе Фонда:</w:t>
            </w:r>
            <w:proofErr w:type="gramEnd"/>
            <w:r w:rsidRPr="00190EBE">
              <w:rPr>
                <w:i/>
                <w:sz w:val="17"/>
                <w:szCs w:val="17"/>
              </w:rPr>
              <w:t xml:space="preserve"> </w:t>
            </w:r>
            <w:proofErr w:type="gramStart"/>
            <w:r w:rsidRPr="00190EBE">
              <w:rPr>
                <w:i/>
                <w:sz w:val="17"/>
                <w:szCs w:val="17"/>
              </w:rPr>
              <w:t xml:space="preserve">«Предоставление поручительства НКО «Гарантийный фонд РО» в обеспечение </w:t>
            </w:r>
            <w:r w:rsidRPr="00190EBE">
              <w:rPr>
                <w:b/>
                <w:i/>
                <w:sz w:val="17"/>
                <w:szCs w:val="17"/>
              </w:rPr>
              <w:t>договоров о предоставлении банковской гарантии»</w:t>
            </w:r>
            <w:r w:rsidRPr="00190EBE">
              <w:rPr>
                <w:i/>
                <w:sz w:val="17"/>
                <w:szCs w:val="17"/>
              </w:rPr>
              <w:t>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8D6D10" w:rsidRPr="00190EBE" w:rsidRDefault="008D6D10" w:rsidP="003429D1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190EBE">
              <w:rPr>
                <w:sz w:val="20"/>
                <w:szCs w:val="20"/>
              </w:rPr>
              <w:t xml:space="preserve">При соответствии заявки на поручительство </w:t>
            </w:r>
            <w:r w:rsidRPr="00190EBE">
              <w:rPr>
                <w:b/>
                <w:sz w:val="20"/>
                <w:szCs w:val="20"/>
              </w:rPr>
              <w:t>условиям,  установленным по продукту Фонда: «ГАРАНТИЯ</w:t>
            </w:r>
            <w:r w:rsidR="003429D1">
              <w:rPr>
                <w:b/>
                <w:sz w:val="20"/>
                <w:szCs w:val="20"/>
              </w:rPr>
              <w:t xml:space="preserve"> - ПЛЮС</w:t>
            </w:r>
            <w:r w:rsidRPr="00190EBE">
              <w:rPr>
                <w:b/>
                <w:sz w:val="20"/>
                <w:szCs w:val="20"/>
              </w:rPr>
              <w:t>»</w:t>
            </w:r>
            <w:r w:rsidRPr="00190EBE">
              <w:rPr>
                <w:sz w:val="20"/>
                <w:szCs w:val="20"/>
              </w:rPr>
              <w:t xml:space="preserve">  в </w:t>
            </w:r>
            <w:r w:rsidRPr="00190EBE">
              <w:rPr>
                <w:b/>
                <w:sz w:val="20"/>
                <w:szCs w:val="20"/>
              </w:rPr>
              <w:t>Приложении № 2</w:t>
            </w:r>
            <w:r w:rsidRPr="00190EBE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190EBE">
              <w:rPr>
                <w:b/>
                <w:sz w:val="20"/>
                <w:szCs w:val="20"/>
              </w:rPr>
              <w:t>договоров о предоставлении банковской гарантии;</w:t>
            </w:r>
          </w:p>
        </w:tc>
        <w:tc>
          <w:tcPr>
            <w:tcW w:w="1418" w:type="dxa"/>
            <w:vAlign w:val="center"/>
          </w:tcPr>
          <w:p w:rsidR="008D6D10" w:rsidRPr="00820AB3" w:rsidRDefault="008D6D10" w:rsidP="008B3BB0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>0,75 %</w:t>
            </w:r>
            <w:r w:rsidRPr="00820AB3">
              <w:rPr>
                <w:sz w:val="22"/>
                <w:szCs w:val="22"/>
              </w:rPr>
              <w:t xml:space="preserve"> годовых</w:t>
            </w:r>
          </w:p>
          <w:p w:rsidR="008D6D10" w:rsidRPr="004E18D2" w:rsidRDefault="008D6D10" w:rsidP="008B3BB0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  <w:tr w:rsidR="007614AA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7614AA" w:rsidRPr="00190EBE" w:rsidRDefault="007614AA" w:rsidP="007614A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33.2.7.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E63BDE" w:rsidRDefault="007614AA" w:rsidP="00FF0B9A">
            <w:pPr>
              <w:pStyle w:val="a5"/>
              <w:ind w:left="0" w:firstLine="34"/>
              <w:jc w:val="both"/>
              <w:rPr>
                <w:b/>
                <w:sz w:val="22"/>
                <w:szCs w:val="22"/>
              </w:rPr>
            </w:pPr>
            <w:r w:rsidRPr="00190EBE">
              <w:rPr>
                <w:b/>
                <w:sz w:val="22"/>
                <w:szCs w:val="22"/>
              </w:rPr>
              <w:t>«ИНВЕСТ»</w:t>
            </w:r>
            <w:r w:rsidR="00E63BDE">
              <w:rPr>
                <w:b/>
                <w:sz w:val="22"/>
                <w:szCs w:val="22"/>
              </w:rPr>
              <w:t xml:space="preserve"> </w:t>
            </w:r>
          </w:p>
          <w:p w:rsidR="007614AA" w:rsidRPr="00190EBE" w:rsidRDefault="00E63BDE" w:rsidP="00E63BDE">
            <w:pPr>
              <w:pStyle w:val="a5"/>
              <w:ind w:left="0" w:firstLine="34"/>
              <w:jc w:val="both"/>
              <w:rPr>
                <w:b/>
                <w:sz w:val="22"/>
                <w:szCs w:val="22"/>
              </w:rPr>
            </w:pPr>
            <w:proofErr w:type="gramStart"/>
            <w:r w:rsidRPr="00726953">
              <w:rPr>
                <w:i/>
                <w:sz w:val="17"/>
                <w:szCs w:val="17"/>
              </w:rPr>
              <w:t>(продукт по Программе Фонда</w:t>
            </w:r>
            <w:r>
              <w:rPr>
                <w:i/>
                <w:sz w:val="17"/>
                <w:szCs w:val="17"/>
              </w:rPr>
              <w:t>:</w:t>
            </w:r>
            <w:proofErr w:type="gramEnd"/>
            <w:r>
              <w:rPr>
                <w:i/>
                <w:sz w:val="17"/>
                <w:szCs w:val="17"/>
              </w:rPr>
              <w:t xml:space="preserve"> </w:t>
            </w:r>
            <w:proofErr w:type="gramStart"/>
            <w:r>
              <w:rPr>
                <w:i/>
                <w:sz w:val="17"/>
                <w:szCs w:val="17"/>
              </w:rPr>
              <w:t>«Предоставление поручительства</w:t>
            </w:r>
            <w:r w:rsidRPr="00726953">
              <w:rPr>
                <w:i/>
                <w:sz w:val="17"/>
                <w:szCs w:val="17"/>
              </w:rPr>
              <w:t xml:space="preserve"> </w:t>
            </w:r>
            <w:r>
              <w:rPr>
                <w:i/>
                <w:sz w:val="17"/>
                <w:szCs w:val="17"/>
              </w:rPr>
              <w:t xml:space="preserve">НКО «Гарантийный фонд РО» </w:t>
            </w:r>
            <w:r w:rsidRPr="00726953">
              <w:rPr>
                <w:i/>
                <w:sz w:val="17"/>
                <w:szCs w:val="17"/>
              </w:rPr>
              <w:t xml:space="preserve">в обеспечение </w:t>
            </w:r>
            <w:r w:rsidRPr="00726953">
              <w:rPr>
                <w:b/>
                <w:i/>
                <w:sz w:val="17"/>
                <w:szCs w:val="17"/>
              </w:rPr>
              <w:t>кредитных договоров</w:t>
            </w:r>
            <w:r>
              <w:rPr>
                <w:b/>
                <w:i/>
                <w:sz w:val="17"/>
                <w:szCs w:val="17"/>
              </w:rPr>
              <w:t xml:space="preserve"> и</w:t>
            </w:r>
            <w:r w:rsidRPr="00726953">
              <w:rPr>
                <w:b/>
                <w:i/>
                <w:sz w:val="17"/>
                <w:szCs w:val="17"/>
              </w:rPr>
              <w:t xml:space="preserve"> договор</w:t>
            </w:r>
            <w:r>
              <w:rPr>
                <w:b/>
                <w:i/>
                <w:sz w:val="17"/>
                <w:szCs w:val="17"/>
              </w:rPr>
              <w:t>ов</w:t>
            </w:r>
            <w:r w:rsidRPr="00726953">
              <w:rPr>
                <w:b/>
                <w:i/>
                <w:sz w:val="17"/>
                <w:szCs w:val="17"/>
              </w:rPr>
              <w:t xml:space="preserve"> займа</w:t>
            </w:r>
            <w:r>
              <w:rPr>
                <w:b/>
                <w:i/>
                <w:sz w:val="17"/>
                <w:szCs w:val="17"/>
              </w:rPr>
              <w:t>»</w:t>
            </w:r>
            <w:r w:rsidRPr="00726953">
              <w:rPr>
                <w:i/>
                <w:sz w:val="17"/>
                <w:szCs w:val="17"/>
              </w:rPr>
              <w:t>)</w:t>
            </w:r>
            <w:proofErr w:type="gramEnd"/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614AA" w:rsidRDefault="007614AA" w:rsidP="007614AA">
            <w:pPr>
              <w:pStyle w:val="a5"/>
              <w:numPr>
                <w:ilvl w:val="0"/>
                <w:numId w:val="14"/>
              </w:numPr>
              <w:tabs>
                <w:tab w:val="right" w:pos="175"/>
                <w:tab w:val="left" w:pos="318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r w:rsidRPr="00190EBE">
              <w:rPr>
                <w:sz w:val="20"/>
                <w:szCs w:val="20"/>
              </w:rPr>
              <w:t xml:space="preserve">При соответствии заявки на поручительство </w:t>
            </w:r>
            <w:r w:rsidRPr="00190EBE">
              <w:rPr>
                <w:b/>
                <w:sz w:val="20"/>
                <w:szCs w:val="20"/>
              </w:rPr>
              <w:t>условиям,  установленным по продукту Фонда: «ИНВЕСТ»</w:t>
            </w:r>
            <w:r w:rsidRPr="00190EBE">
              <w:rPr>
                <w:sz w:val="20"/>
                <w:szCs w:val="20"/>
              </w:rPr>
              <w:t xml:space="preserve"> в </w:t>
            </w:r>
            <w:r w:rsidRPr="00190EBE">
              <w:rPr>
                <w:b/>
                <w:sz w:val="20"/>
                <w:szCs w:val="20"/>
              </w:rPr>
              <w:t>Приложении № 2</w:t>
            </w:r>
            <w:r w:rsidRPr="00190EBE">
              <w:rPr>
                <w:sz w:val="20"/>
                <w:szCs w:val="20"/>
              </w:rPr>
              <w:t xml:space="preserve"> к Регламенту предоставления поручительств Некоммерческой организацией «Гарантийный фонд Ростовской области» и исполнения обязательств по договорам поручительства, заключенным в обеспечение </w:t>
            </w:r>
            <w:r w:rsidRPr="00190EBE">
              <w:rPr>
                <w:b/>
                <w:sz w:val="20"/>
                <w:szCs w:val="20"/>
              </w:rPr>
              <w:t>кредитных договоров и договоров займа;</w:t>
            </w:r>
          </w:p>
          <w:p w:rsidR="009E032A" w:rsidRPr="00190EBE" w:rsidRDefault="009E032A" w:rsidP="009E032A">
            <w:pPr>
              <w:pStyle w:val="a5"/>
              <w:tabs>
                <w:tab w:val="right" w:pos="175"/>
                <w:tab w:val="left" w:pos="318"/>
              </w:tabs>
              <w:ind w:left="175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7614AA" w:rsidRPr="00E63BDE" w:rsidRDefault="007614AA" w:rsidP="00B91C57">
            <w:pPr>
              <w:ind w:firstLine="34"/>
              <w:jc w:val="center"/>
              <w:rPr>
                <w:sz w:val="22"/>
                <w:szCs w:val="22"/>
              </w:rPr>
            </w:pPr>
            <w:r w:rsidRPr="00E63BDE">
              <w:rPr>
                <w:b/>
                <w:sz w:val="22"/>
                <w:szCs w:val="22"/>
              </w:rPr>
              <w:t>0,75 %</w:t>
            </w:r>
            <w:r w:rsidRPr="00E63BDE">
              <w:rPr>
                <w:sz w:val="22"/>
                <w:szCs w:val="22"/>
              </w:rPr>
              <w:t xml:space="preserve"> </w:t>
            </w:r>
          </w:p>
          <w:p w:rsidR="007614AA" w:rsidRPr="00E63BDE" w:rsidRDefault="007614AA" w:rsidP="00B91C57">
            <w:pPr>
              <w:ind w:firstLine="34"/>
              <w:jc w:val="center"/>
              <w:rPr>
                <w:sz w:val="22"/>
                <w:szCs w:val="22"/>
              </w:rPr>
            </w:pPr>
            <w:r w:rsidRPr="00E63BDE">
              <w:rPr>
                <w:sz w:val="22"/>
                <w:szCs w:val="22"/>
              </w:rPr>
              <w:t>годовых</w:t>
            </w:r>
          </w:p>
          <w:p w:rsidR="007614AA" w:rsidRPr="00E63BDE" w:rsidRDefault="007614AA" w:rsidP="00B91C57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E63BDE">
              <w:rPr>
                <w:sz w:val="17"/>
                <w:szCs w:val="17"/>
              </w:rPr>
              <w:t>от суммы поручительства</w:t>
            </w:r>
          </w:p>
        </w:tc>
      </w:tr>
      <w:tr w:rsidR="007614AA" w:rsidRPr="002B45C5" w:rsidTr="00726953">
        <w:trPr>
          <w:trHeight w:val="125"/>
        </w:trPr>
        <w:tc>
          <w:tcPr>
            <w:tcW w:w="425" w:type="dxa"/>
            <w:tcBorders>
              <w:right w:val="single" w:sz="4" w:space="0" w:color="auto"/>
            </w:tcBorders>
          </w:tcPr>
          <w:p w:rsidR="007614AA" w:rsidRPr="00190EBE" w:rsidRDefault="007614AA" w:rsidP="007614AA">
            <w:pPr>
              <w:pStyle w:val="a5"/>
              <w:numPr>
                <w:ilvl w:val="2"/>
                <w:numId w:val="25"/>
              </w:numPr>
              <w:ind w:left="-108" w:right="-108" w:firstLine="879"/>
              <w:jc w:val="center"/>
              <w:rPr>
                <w:b/>
                <w:sz w:val="18"/>
                <w:szCs w:val="18"/>
              </w:rPr>
            </w:pPr>
            <w:r w:rsidRPr="00190EBE">
              <w:rPr>
                <w:b/>
                <w:sz w:val="18"/>
                <w:szCs w:val="18"/>
              </w:rPr>
              <w:t>33.2.8.</w:t>
            </w:r>
          </w:p>
        </w:tc>
        <w:tc>
          <w:tcPr>
            <w:tcW w:w="2694" w:type="dxa"/>
            <w:tcBorders>
              <w:right w:val="single" w:sz="4" w:space="0" w:color="auto"/>
            </w:tcBorders>
            <w:vAlign w:val="center"/>
          </w:tcPr>
          <w:p w:rsidR="007614AA" w:rsidRPr="00190EBE" w:rsidRDefault="007614AA" w:rsidP="00DD319B">
            <w:pPr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  <w:r w:rsidRPr="00190EBE">
              <w:rPr>
                <w:sz w:val="22"/>
                <w:szCs w:val="22"/>
              </w:rPr>
              <w:t xml:space="preserve">продукт АО «Корпорация </w:t>
            </w:r>
            <w:r w:rsidR="00976F84" w:rsidRPr="00190EBE">
              <w:rPr>
                <w:sz w:val="22"/>
                <w:szCs w:val="22"/>
              </w:rPr>
              <w:t>«</w:t>
            </w:r>
            <w:r w:rsidRPr="00190EBE">
              <w:rPr>
                <w:sz w:val="22"/>
                <w:szCs w:val="22"/>
              </w:rPr>
              <w:t>МСП» и НКО «Гарантийный фонд РО» -</w:t>
            </w:r>
          </w:p>
          <w:p w:rsidR="007614AA" w:rsidRPr="009E032A" w:rsidRDefault="007614AA" w:rsidP="007A576D">
            <w:pPr>
              <w:jc w:val="center"/>
              <w:rPr>
                <w:b/>
                <w:sz w:val="22"/>
                <w:szCs w:val="22"/>
              </w:rPr>
            </w:pPr>
            <w:r w:rsidRPr="00190EBE">
              <w:rPr>
                <w:b/>
                <w:sz w:val="22"/>
                <w:szCs w:val="22"/>
              </w:rPr>
              <w:t>«СОГАРАНТИЯ»</w:t>
            </w:r>
          </w:p>
          <w:p w:rsidR="007614AA" w:rsidRPr="00190EBE" w:rsidRDefault="007614AA" w:rsidP="007A576D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6662" w:type="dxa"/>
            <w:tcBorders>
              <w:left w:val="single" w:sz="4" w:space="0" w:color="auto"/>
            </w:tcBorders>
            <w:vAlign w:val="center"/>
          </w:tcPr>
          <w:p w:rsidR="007614AA" w:rsidRPr="00190EBE" w:rsidRDefault="007614AA" w:rsidP="003429D1">
            <w:pPr>
              <w:pStyle w:val="a5"/>
              <w:numPr>
                <w:ilvl w:val="0"/>
                <w:numId w:val="14"/>
              </w:numPr>
              <w:tabs>
                <w:tab w:val="right" w:pos="175"/>
              </w:tabs>
              <w:ind w:left="175" w:hanging="175"/>
              <w:jc w:val="both"/>
              <w:rPr>
                <w:b/>
                <w:sz w:val="20"/>
                <w:szCs w:val="20"/>
              </w:rPr>
            </w:pPr>
            <w:proofErr w:type="gramStart"/>
            <w:r w:rsidRPr="00190EBE">
              <w:rPr>
                <w:sz w:val="20"/>
                <w:szCs w:val="20"/>
              </w:rPr>
              <w:t xml:space="preserve">Решением уполномоченного органа финансовой организации в структуре обеспечения договора обязательств (по кредитному договору, договору займа, договору о предоставлении банковской гарантии, договору финансовой аренды (лизинга) предусмотрено поручительство Фонда и независимая гарантия Корпорации МСП </w:t>
            </w:r>
            <w:r w:rsidRPr="00190EBE">
              <w:rPr>
                <w:b/>
                <w:sz w:val="20"/>
                <w:szCs w:val="20"/>
              </w:rPr>
              <w:t>по продукту</w:t>
            </w:r>
            <w:r w:rsidRPr="00190EBE">
              <w:rPr>
                <w:sz w:val="20"/>
                <w:szCs w:val="20"/>
              </w:rPr>
              <w:t xml:space="preserve"> </w:t>
            </w:r>
            <w:r w:rsidRPr="00190EBE">
              <w:rPr>
                <w:b/>
                <w:sz w:val="20"/>
                <w:szCs w:val="20"/>
              </w:rPr>
              <w:t xml:space="preserve">«Согарантия», </w:t>
            </w:r>
            <w:r w:rsidRPr="00190EBE">
              <w:rPr>
                <w:sz w:val="20"/>
                <w:szCs w:val="20"/>
              </w:rPr>
              <w:t xml:space="preserve">что </w:t>
            </w:r>
            <w:r w:rsidRPr="00190EBE">
              <w:rPr>
                <w:b/>
                <w:sz w:val="20"/>
                <w:szCs w:val="20"/>
              </w:rPr>
              <w:t>отражено в решении уполномоченного органа финансовой организации и заявке на получение поручительства Фонда.</w:t>
            </w:r>
            <w:proofErr w:type="gramEnd"/>
          </w:p>
        </w:tc>
        <w:tc>
          <w:tcPr>
            <w:tcW w:w="1418" w:type="dxa"/>
            <w:vAlign w:val="center"/>
          </w:tcPr>
          <w:p w:rsidR="009E032A" w:rsidRDefault="009E032A" w:rsidP="00DD319B">
            <w:pPr>
              <w:ind w:firstLine="34"/>
              <w:jc w:val="center"/>
              <w:rPr>
                <w:b/>
                <w:sz w:val="22"/>
                <w:szCs w:val="22"/>
              </w:rPr>
            </w:pPr>
          </w:p>
          <w:p w:rsidR="007614AA" w:rsidRPr="00820AB3" w:rsidRDefault="007614AA" w:rsidP="00DD319B">
            <w:pPr>
              <w:ind w:firstLine="34"/>
              <w:jc w:val="center"/>
              <w:rPr>
                <w:sz w:val="22"/>
                <w:szCs w:val="22"/>
              </w:rPr>
            </w:pPr>
            <w:r w:rsidRPr="00820AB3">
              <w:rPr>
                <w:b/>
                <w:sz w:val="22"/>
                <w:szCs w:val="22"/>
              </w:rPr>
              <w:t xml:space="preserve">0,75 % </w:t>
            </w:r>
            <w:r w:rsidRPr="00820AB3">
              <w:rPr>
                <w:sz w:val="22"/>
                <w:szCs w:val="22"/>
              </w:rPr>
              <w:t>годовых</w:t>
            </w:r>
          </w:p>
          <w:p w:rsidR="007614AA" w:rsidRPr="004E18D2" w:rsidRDefault="007614AA" w:rsidP="00DD319B">
            <w:pPr>
              <w:ind w:firstLine="34"/>
              <w:jc w:val="center"/>
              <w:rPr>
                <w:b/>
                <w:sz w:val="17"/>
                <w:szCs w:val="17"/>
              </w:rPr>
            </w:pPr>
            <w:r w:rsidRPr="004E18D2">
              <w:rPr>
                <w:sz w:val="17"/>
                <w:szCs w:val="17"/>
              </w:rPr>
              <w:t>от суммы поручительства</w:t>
            </w:r>
          </w:p>
        </w:tc>
      </w:tr>
    </w:tbl>
    <w:p w:rsidR="008F2DD5" w:rsidRPr="00D413EC" w:rsidRDefault="008F2DD5" w:rsidP="009302DF">
      <w:pPr>
        <w:tabs>
          <w:tab w:val="left" w:pos="1134"/>
          <w:tab w:val="left" w:pos="1276"/>
        </w:tabs>
        <w:jc w:val="both"/>
      </w:pPr>
    </w:p>
    <w:p w:rsidR="008F2DD5" w:rsidRPr="00D03F2E" w:rsidRDefault="00836ED7" w:rsidP="00570B9E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sz w:val="12"/>
          <w:szCs w:val="12"/>
        </w:rPr>
      </w:pPr>
      <w:r w:rsidRPr="002B45C5">
        <w:t>Ставка вознаграждения за поручительство Фонда, действующая для Хозяйствующих субъектов, не включенных в перечень льготных категорий</w:t>
      </w:r>
      <w:r w:rsidR="00D54F6E">
        <w:t xml:space="preserve"> и льготных продуктов</w:t>
      </w:r>
      <w:r w:rsidRPr="002B45C5">
        <w:t xml:space="preserve"> </w:t>
      </w:r>
      <w:r w:rsidR="00D54F6E">
        <w:t>(</w:t>
      </w:r>
      <w:r w:rsidRPr="00570B9E">
        <w:rPr>
          <w:b/>
        </w:rPr>
        <w:t xml:space="preserve">Таблицы № </w:t>
      </w:r>
      <w:r w:rsidR="00D54F6E" w:rsidRPr="00570B9E">
        <w:rPr>
          <w:b/>
        </w:rPr>
        <w:t>1- № 2)</w:t>
      </w:r>
      <w:r w:rsidRPr="002B45C5">
        <w:t xml:space="preserve"> в </w:t>
      </w:r>
      <w:r w:rsidRPr="00570B9E">
        <w:rPr>
          <w:b/>
        </w:rPr>
        <w:t>обеспечение кредитных до</w:t>
      </w:r>
      <w:r w:rsidR="00726953">
        <w:rPr>
          <w:b/>
        </w:rPr>
        <w:t xml:space="preserve">говоров, договоров займа </w:t>
      </w:r>
      <w:r w:rsidRPr="002B45C5">
        <w:t>(независимо от целевого направления, вида деятельности Хозяйству</w:t>
      </w:r>
      <w:r w:rsidR="00631156" w:rsidRPr="002B45C5">
        <w:t xml:space="preserve">ющего субъекта, срока, объема, </w:t>
      </w:r>
      <w:r w:rsidRPr="002B45C5">
        <w:t xml:space="preserve">продукта поручительства и прочих параметров) </w:t>
      </w:r>
      <w:r w:rsidRPr="00570B9E">
        <w:rPr>
          <w:b/>
        </w:rPr>
        <w:t xml:space="preserve">составляет: </w:t>
      </w:r>
    </w:p>
    <w:p w:rsidR="00D03F2E" w:rsidRPr="00D413EC" w:rsidRDefault="00D03F2E" w:rsidP="00D03F2E">
      <w:pPr>
        <w:pStyle w:val="a5"/>
        <w:tabs>
          <w:tab w:val="left" w:pos="1134"/>
          <w:tab w:val="left" w:pos="1276"/>
        </w:tabs>
        <w:ind w:left="709"/>
        <w:jc w:val="both"/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598"/>
      </w:tblGrid>
      <w:tr w:rsidR="00D54F6E" w:rsidTr="00E97E3B">
        <w:trPr>
          <w:trHeight w:val="470"/>
        </w:trPr>
        <w:tc>
          <w:tcPr>
            <w:tcW w:w="10598" w:type="dxa"/>
          </w:tcPr>
          <w:p w:rsidR="00380076" w:rsidRPr="002E7B5C" w:rsidRDefault="00380076" w:rsidP="00744115">
            <w:pPr>
              <w:pStyle w:val="a5"/>
              <w:tabs>
                <w:tab w:val="left" w:pos="1134"/>
                <w:tab w:val="left" w:pos="1418"/>
                <w:tab w:val="left" w:pos="1735"/>
                <w:tab w:val="left" w:pos="1877"/>
              </w:tabs>
              <w:ind w:left="993" w:hanging="534"/>
              <w:jc w:val="center"/>
              <w:rPr>
                <w:b/>
                <w:sz w:val="10"/>
                <w:szCs w:val="10"/>
                <w:u w:val="single"/>
              </w:rPr>
            </w:pPr>
          </w:p>
          <w:p w:rsidR="00D54F6E" w:rsidRDefault="00D54F6E" w:rsidP="002E7B5C">
            <w:pPr>
              <w:pStyle w:val="a5"/>
              <w:tabs>
                <w:tab w:val="left" w:pos="1134"/>
                <w:tab w:val="left" w:pos="1418"/>
                <w:tab w:val="left" w:pos="1735"/>
                <w:tab w:val="left" w:pos="1877"/>
              </w:tabs>
              <w:ind w:left="993" w:hanging="534"/>
              <w:jc w:val="center"/>
            </w:pPr>
            <w:r w:rsidRPr="002B45C5">
              <w:rPr>
                <w:b/>
                <w:u w:val="single"/>
              </w:rPr>
              <w:t xml:space="preserve">1,00 % </w:t>
            </w:r>
            <w:r w:rsidRPr="007A4BA6">
              <w:rPr>
                <w:u w:val="single"/>
              </w:rPr>
              <w:t>годовых от суммы поручительства</w:t>
            </w:r>
          </w:p>
        </w:tc>
      </w:tr>
    </w:tbl>
    <w:p w:rsidR="008F2DD5" w:rsidRPr="009302DF" w:rsidRDefault="008F2DD5" w:rsidP="008F2DD5">
      <w:pPr>
        <w:pStyle w:val="a5"/>
        <w:tabs>
          <w:tab w:val="left" w:pos="1134"/>
          <w:tab w:val="left" w:pos="1276"/>
        </w:tabs>
        <w:ind w:left="689"/>
        <w:jc w:val="both"/>
        <w:rPr>
          <w:sz w:val="12"/>
          <w:szCs w:val="12"/>
        </w:rPr>
      </w:pPr>
    </w:p>
    <w:p w:rsidR="00726953" w:rsidRDefault="00F8037D" w:rsidP="006A213D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689"/>
        <w:jc w:val="both"/>
      </w:pPr>
      <w:r w:rsidRPr="002B45C5">
        <w:t xml:space="preserve">В случае </w:t>
      </w:r>
      <w:r w:rsidR="00B26157" w:rsidRPr="002B45C5">
        <w:t xml:space="preserve">если Хозяйствующий субъект одновременно относится к </w:t>
      </w:r>
      <w:r w:rsidR="00D21D11" w:rsidRPr="002B45C5">
        <w:t>двум</w:t>
      </w:r>
      <w:r w:rsidR="005F2ED0">
        <w:t xml:space="preserve"> (и более)</w:t>
      </w:r>
      <w:r w:rsidR="00B26157" w:rsidRPr="002B45C5">
        <w:t xml:space="preserve"> приоритетным категориям</w:t>
      </w:r>
      <w:r w:rsidR="005F2ED0">
        <w:t>, продуктам</w:t>
      </w:r>
      <w:r w:rsidR="00B26157" w:rsidRPr="002B45C5">
        <w:t>, то при определении ставки вознаграждения за предоставление поручительства учитывается наименьший размер</w:t>
      </w:r>
      <w:r w:rsidR="00836ED7" w:rsidRPr="002B45C5">
        <w:t xml:space="preserve"> процентной ставки </w:t>
      </w:r>
      <w:proofErr w:type="gramStart"/>
      <w:r w:rsidR="00B26157" w:rsidRPr="002B45C5">
        <w:t>годовых</w:t>
      </w:r>
      <w:proofErr w:type="gramEnd"/>
      <w:r w:rsidR="00B26157" w:rsidRPr="002B45C5">
        <w:t>.</w:t>
      </w:r>
      <w:r w:rsidR="00E65FD5" w:rsidRPr="002B45C5">
        <w:t xml:space="preserve"> </w:t>
      </w:r>
    </w:p>
    <w:p w:rsidR="008B5BF4" w:rsidRPr="008B5BF4" w:rsidRDefault="008B5BF4" w:rsidP="00726953">
      <w:pPr>
        <w:tabs>
          <w:tab w:val="left" w:pos="1134"/>
          <w:tab w:val="left" w:pos="1276"/>
        </w:tabs>
        <w:ind w:firstLine="709"/>
        <w:jc w:val="both"/>
        <w:rPr>
          <w:b/>
          <w:sz w:val="10"/>
          <w:szCs w:val="10"/>
        </w:rPr>
      </w:pPr>
    </w:p>
    <w:p w:rsidR="00AB3DAC" w:rsidRDefault="00543B52" w:rsidP="00726953">
      <w:pPr>
        <w:tabs>
          <w:tab w:val="left" w:pos="1134"/>
          <w:tab w:val="left" w:pos="1276"/>
        </w:tabs>
        <w:ind w:firstLine="709"/>
        <w:jc w:val="both"/>
      </w:pPr>
      <w:r w:rsidRPr="00726953">
        <w:rPr>
          <w:b/>
        </w:rPr>
        <w:t>В</w:t>
      </w:r>
      <w:r w:rsidR="00B26157" w:rsidRPr="00726953">
        <w:rPr>
          <w:b/>
        </w:rPr>
        <w:t xml:space="preserve"> </w:t>
      </w:r>
      <w:r w:rsidR="00034EF7" w:rsidRPr="00726953">
        <w:rPr>
          <w:b/>
        </w:rPr>
        <w:t xml:space="preserve">любом случае размер </w:t>
      </w:r>
      <w:r w:rsidR="001A0FE7" w:rsidRPr="00726953">
        <w:rPr>
          <w:b/>
        </w:rPr>
        <w:t xml:space="preserve">ставки вознаграждения </w:t>
      </w:r>
      <w:r w:rsidR="00034EF7" w:rsidRPr="00726953">
        <w:rPr>
          <w:b/>
        </w:rPr>
        <w:t>не может быть ниже 0,5</w:t>
      </w:r>
      <w:r w:rsidR="00A674EC" w:rsidRPr="00726953">
        <w:rPr>
          <w:b/>
        </w:rPr>
        <w:t xml:space="preserve"> </w:t>
      </w:r>
      <w:r w:rsidR="00034EF7" w:rsidRPr="00726953">
        <w:rPr>
          <w:b/>
        </w:rPr>
        <w:t xml:space="preserve">% </w:t>
      </w:r>
      <w:proofErr w:type="gramStart"/>
      <w:r w:rsidR="00173E2A" w:rsidRPr="00726953">
        <w:rPr>
          <w:b/>
        </w:rPr>
        <w:t>годовых</w:t>
      </w:r>
      <w:proofErr w:type="gramEnd"/>
      <w:r w:rsidR="00B25082" w:rsidRPr="00726953">
        <w:rPr>
          <w:b/>
        </w:rPr>
        <w:t xml:space="preserve"> </w:t>
      </w:r>
      <w:r w:rsidR="00B25082" w:rsidRPr="00B25082">
        <w:t>от суммы поручительства</w:t>
      </w:r>
      <w:r w:rsidRPr="00B25082">
        <w:t>.</w:t>
      </w:r>
    </w:p>
    <w:p w:rsidR="00B101B7" w:rsidRPr="00B101B7" w:rsidRDefault="00B101B7" w:rsidP="00726953">
      <w:pPr>
        <w:tabs>
          <w:tab w:val="left" w:pos="1134"/>
          <w:tab w:val="left" w:pos="1276"/>
        </w:tabs>
        <w:ind w:firstLine="709"/>
        <w:jc w:val="both"/>
        <w:rPr>
          <w:sz w:val="10"/>
          <w:szCs w:val="10"/>
        </w:rPr>
      </w:pPr>
    </w:p>
    <w:p w:rsidR="001747B9" w:rsidRPr="00835985" w:rsidRDefault="001747B9" w:rsidP="008F2DD5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689"/>
        <w:jc w:val="both"/>
      </w:pPr>
      <w:proofErr w:type="gramStart"/>
      <w:r w:rsidRPr="00835985">
        <w:rPr>
          <w:b/>
        </w:rPr>
        <w:t>Оплата вознаграждения Фонду за предоставление поручительства</w:t>
      </w:r>
      <w:r w:rsidRPr="00835985">
        <w:t xml:space="preserve"> выполняется Хозяйствующим субъектом </w:t>
      </w:r>
      <w:r w:rsidR="00B91C57" w:rsidRPr="00835985">
        <w:t xml:space="preserve">не позднее </w:t>
      </w:r>
      <w:r w:rsidR="00B91C57" w:rsidRPr="00835985">
        <w:rPr>
          <w:b/>
        </w:rPr>
        <w:t xml:space="preserve">5 </w:t>
      </w:r>
      <w:r w:rsidR="00B91C57" w:rsidRPr="00835985">
        <w:t xml:space="preserve">(Пяти) рабочих дней </w:t>
      </w:r>
      <w:r w:rsidRPr="00835985">
        <w:t xml:space="preserve">после подписания </w:t>
      </w:r>
      <w:r w:rsidR="005972FB" w:rsidRPr="00835985">
        <w:t xml:space="preserve">сторонами </w:t>
      </w:r>
      <w:r w:rsidRPr="00835985">
        <w:t>договора поручительства на основании счета</w:t>
      </w:r>
      <w:r w:rsidR="005972FB" w:rsidRPr="00835985">
        <w:t>,</w:t>
      </w:r>
      <w:r w:rsidRPr="00835985">
        <w:t xml:space="preserve"> в </w:t>
      </w:r>
      <w:r w:rsidR="005972FB" w:rsidRPr="00835985">
        <w:t>порядке и</w:t>
      </w:r>
      <w:r w:rsidRPr="00835985">
        <w:t xml:space="preserve"> сроки, установленные договором поручительства</w:t>
      </w:r>
      <w:r w:rsidR="005972FB" w:rsidRPr="00835985">
        <w:t xml:space="preserve">, </w:t>
      </w:r>
      <w:r w:rsidRPr="00835985">
        <w:t xml:space="preserve">в соответствии с требованиями Регламентов предоставления поручительств Некоммерческой организацией «Гарантийный фонд Ростовской области» (в обеспечение кредитных договоров и договоров займа, договоров о предоставлении банковской гарантии, договоров </w:t>
      </w:r>
      <w:r w:rsidR="00523B49" w:rsidRPr="00835985">
        <w:t>финансовой аренды (</w:t>
      </w:r>
      <w:r w:rsidRPr="00835985">
        <w:t>лизинга)</w:t>
      </w:r>
      <w:r w:rsidR="00523B49" w:rsidRPr="00835985">
        <w:t>)</w:t>
      </w:r>
      <w:r w:rsidRPr="00835985">
        <w:t>.</w:t>
      </w:r>
      <w:proofErr w:type="gramEnd"/>
    </w:p>
    <w:p w:rsidR="00E273B7" w:rsidRPr="00835985" w:rsidRDefault="00E273B7" w:rsidP="00E273B7">
      <w:pPr>
        <w:tabs>
          <w:tab w:val="left" w:pos="1134"/>
          <w:tab w:val="left" w:pos="1276"/>
        </w:tabs>
        <w:jc w:val="both"/>
        <w:rPr>
          <w:sz w:val="10"/>
          <w:szCs w:val="10"/>
        </w:rPr>
      </w:pPr>
      <w:r w:rsidRPr="00835985">
        <w:tab/>
      </w:r>
    </w:p>
    <w:p w:rsidR="00E07B93" w:rsidRPr="00835985" w:rsidRDefault="00695480" w:rsidP="008F2DD5">
      <w:pPr>
        <w:pStyle w:val="a5"/>
        <w:numPr>
          <w:ilvl w:val="2"/>
          <w:numId w:val="25"/>
        </w:numPr>
        <w:tabs>
          <w:tab w:val="left" w:pos="0"/>
          <w:tab w:val="left" w:pos="1418"/>
        </w:tabs>
        <w:ind w:left="0" w:firstLine="709"/>
        <w:jc w:val="both"/>
      </w:pPr>
      <w:r w:rsidRPr="00835985">
        <w:t>Комиссией Фонда</w:t>
      </w:r>
      <w:r w:rsidRPr="00835985">
        <w:rPr>
          <w:b/>
        </w:rPr>
        <w:t xml:space="preserve"> </w:t>
      </w:r>
      <w:r w:rsidRPr="00835985">
        <w:t xml:space="preserve">на основании письменного заявления </w:t>
      </w:r>
      <w:r w:rsidR="00836ED7" w:rsidRPr="00835985">
        <w:t>Хозяйствующего субъекта</w:t>
      </w:r>
      <w:r w:rsidRPr="00835985">
        <w:t xml:space="preserve"> и с письменного согласия </w:t>
      </w:r>
      <w:r w:rsidR="00836ED7" w:rsidRPr="00835985">
        <w:t>финансовой организации</w:t>
      </w:r>
      <w:r w:rsidRPr="00835985">
        <w:t>, может быть рассмотрен вопрос</w:t>
      </w:r>
      <w:r w:rsidRPr="00835985">
        <w:rPr>
          <w:b/>
        </w:rPr>
        <w:t xml:space="preserve"> о предоставлении рассрочки</w:t>
      </w:r>
      <w:r w:rsidRPr="00835985">
        <w:t xml:space="preserve"> при уплате суммы вознаграждения Фонду</w:t>
      </w:r>
      <w:r w:rsidR="00836ED7" w:rsidRPr="00835985">
        <w:t xml:space="preserve"> за предоставление поручительства</w:t>
      </w:r>
      <w:r w:rsidRPr="00835985">
        <w:t xml:space="preserve">. </w:t>
      </w:r>
    </w:p>
    <w:p w:rsidR="00B91C57" w:rsidRPr="00835985" w:rsidRDefault="00B91C57" w:rsidP="00B91C57">
      <w:pPr>
        <w:pStyle w:val="a5"/>
        <w:tabs>
          <w:tab w:val="left" w:pos="0"/>
          <w:tab w:val="left" w:pos="1418"/>
        </w:tabs>
        <w:ind w:left="0" w:firstLine="1134"/>
        <w:jc w:val="both"/>
      </w:pPr>
      <w:r w:rsidRPr="00835985">
        <w:t xml:space="preserve">Первый платеж в счет суммы вознаграждения Фонду осуществляется не позднее 10 (Десяти) рабочих дней с момента подписания договора поручительства. </w:t>
      </w:r>
    </w:p>
    <w:p w:rsidR="00B91C57" w:rsidRPr="00835985" w:rsidRDefault="00B91C57" w:rsidP="00B91C57">
      <w:pPr>
        <w:pStyle w:val="a5"/>
        <w:tabs>
          <w:tab w:val="left" w:pos="0"/>
          <w:tab w:val="left" w:pos="1418"/>
        </w:tabs>
        <w:ind w:left="0" w:firstLine="1134"/>
        <w:jc w:val="both"/>
        <w:rPr>
          <w:i/>
          <w:color w:val="0000CC"/>
          <w:sz w:val="23"/>
          <w:szCs w:val="23"/>
        </w:rPr>
      </w:pPr>
      <w:r w:rsidRPr="00835985">
        <w:t>Второй и последующие платежи  в счет суммы вознаграждения Фонду осуществляется в соответствие с условиями договора поручительства.</w:t>
      </w:r>
      <w:r w:rsidRPr="00835985">
        <w:rPr>
          <w:i/>
          <w:color w:val="0000CC"/>
          <w:sz w:val="23"/>
          <w:szCs w:val="23"/>
        </w:rPr>
        <w:t xml:space="preserve"> </w:t>
      </w:r>
    </w:p>
    <w:p w:rsidR="00B91C57" w:rsidRDefault="00B91C57" w:rsidP="00B91C57">
      <w:pPr>
        <w:pStyle w:val="a5"/>
        <w:tabs>
          <w:tab w:val="left" w:pos="0"/>
          <w:tab w:val="left" w:pos="1418"/>
        </w:tabs>
        <w:ind w:left="0" w:firstLine="1134"/>
        <w:jc w:val="both"/>
      </w:pPr>
      <w:r w:rsidRPr="00835985">
        <w:t>Поручительство прекращается со дня, следующего за днем окончания срока внесения оплаты (в порядке и сроки, согласованные в договоре поручительства), если до истечения периода внесения оплаты вознаграждения Должником или Кредитором или третьим лицом не будет произведена оплата в полном объёме. С указанной даты отношения по договору поручительства прекращаются в полном объёме и никакие требования в отношении исполнения обязательства за Должника не могут быть заявлены Поручителю.</w:t>
      </w:r>
    </w:p>
    <w:p w:rsidR="00F70522" w:rsidRDefault="00F70522" w:rsidP="008F2DD5">
      <w:pPr>
        <w:pStyle w:val="a5"/>
        <w:numPr>
          <w:ilvl w:val="2"/>
          <w:numId w:val="25"/>
        </w:numPr>
        <w:tabs>
          <w:tab w:val="left" w:pos="0"/>
          <w:tab w:val="left" w:pos="1418"/>
        </w:tabs>
        <w:ind w:left="0" w:firstLine="709"/>
        <w:jc w:val="both"/>
      </w:pPr>
      <w:proofErr w:type="gramStart"/>
      <w:r w:rsidRPr="00D73E87">
        <w:rPr>
          <w:b/>
        </w:rPr>
        <w:t xml:space="preserve">По </w:t>
      </w:r>
      <w:r w:rsidR="00D73E87" w:rsidRPr="00D73E87">
        <w:rPr>
          <w:b/>
        </w:rPr>
        <w:t>з</w:t>
      </w:r>
      <w:r w:rsidRPr="00D73E87">
        <w:rPr>
          <w:b/>
        </w:rPr>
        <w:t>аявке на поручительство Хозяйствующего субъекта, относящегося к сфер</w:t>
      </w:r>
      <w:r w:rsidR="00D73E87" w:rsidRPr="00D73E87">
        <w:rPr>
          <w:b/>
        </w:rPr>
        <w:t>е</w:t>
      </w:r>
      <w:r w:rsidRPr="00D73E87">
        <w:rPr>
          <w:b/>
        </w:rPr>
        <w:t xml:space="preserve"> деятельности</w:t>
      </w:r>
      <w:r w:rsidRPr="00D73E87">
        <w:t xml:space="preserve"> (на основании сведений о коде ОКВЭД, полученных из выписки ЕГРЮЛ/ ЕГРИП) из</w:t>
      </w:r>
      <w:r w:rsidRPr="00D73E87">
        <w:rPr>
          <w:sz w:val="20"/>
          <w:szCs w:val="20"/>
        </w:rPr>
        <w:t xml:space="preserve"> </w:t>
      </w:r>
      <w:r w:rsidRPr="00D73E87">
        <w:rPr>
          <w:b/>
        </w:rPr>
        <w:t xml:space="preserve">Перечня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73E87">
        <w:rPr>
          <w:b/>
        </w:rPr>
        <w:t>коронавирусной</w:t>
      </w:r>
      <w:proofErr w:type="spellEnd"/>
      <w:r w:rsidRPr="00D73E87">
        <w:rPr>
          <w:b/>
        </w:rPr>
        <w:t xml:space="preserve"> инфекции</w:t>
      </w:r>
      <w:r w:rsidRPr="00D73E87">
        <w:t xml:space="preserve"> </w:t>
      </w:r>
      <w:r w:rsidRPr="00D73E87">
        <w:rPr>
          <w:rFonts w:eastAsia="Calibri"/>
        </w:rPr>
        <w:t xml:space="preserve">(указанных в пункте </w:t>
      </w:r>
      <w:r w:rsidRPr="00D73E87">
        <w:rPr>
          <w:rFonts w:eastAsia="Calibri"/>
          <w:b/>
        </w:rPr>
        <w:t>3.1.3.</w:t>
      </w:r>
      <w:r w:rsidRPr="00D73E87">
        <w:rPr>
          <w:rFonts w:eastAsia="Calibri"/>
        </w:rPr>
        <w:t xml:space="preserve"> настоящего Порядка), </w:t>
      </w:r>
      <w:r w:rsidRPr="00D73E87">
        <w:t>Комиссией Фонда на основании письменного заявления Хозяйствующего субъекта и с письменного согласия финансовой организации</w:t>
      </w:r>
      <w:proofErr w:type="gramEnd"/>
      <w:r w:rsidRPr="00D73E87">
        <w:t xml:space="preserve">, может быть рассмотрен вопрос </w:t>
      </w:r>
      <w:r w:rsidRPr="00EF3029">
        <w:rPr>
          <w:b/>
        </w:rPr>
        <w:t>о предоставлении</w:t>
      </w:r>
      <w:r w:rsidRPr="00D73E87">
        <w:t xml:space="preserve"> </w:t>
      </w:r>
      <w:r w:rsidRPr="00D73E87">
        <w:rPr>
          <w:b/>
        </w:rPr>
        <w:t xml:space="preserve">отсрочки </w:t>
      </w:r>
      <w:r w:rsidRPr="00D73E87">
        <w:t>и (или)</w:t>
      </w:r>
      <w:r w:rsidRPr="00D73E87">
        <w:rPr>
          <w:b/>
        </w:rPr>
        <w:t xml:space="preserve"> рассрочки</w:t>
      </w:r>
      <w:r w:rsidRPr="00D73E87">
        <w:t xml:space="preserve"> при уплате суммы вознаграждения Фонду</w:t>
      </w:r>
      <w:r w:rsidR="00665A65">
        <w:t xml:space="preserve"> за предоставление поручительства</w:t>
      </w:r>
      <w:r w:rsidRPr="00D73E87">
        <w:t>.</w:t>
      </w:r>
      <w:r w:rsidR="00A677A3">
        <w:t xml:space="preserve"> </w:t>
      </w:r>
    </w:p>
    <w:p w:rsidR="00197C0D" w:rsidRPr="00197C0D" w:rsidRDefault="00197C0D" w:rsidP="00197C0D">
      <w:pPr>
        <w:pStyle w:val="a5"/>
        <w:tabs>
          <w:tab w:val="left" w:pos="0"/>
          <w:tab w:val="left" w:pos="1418"/>
        </w:tabs>
        <w:ind w:left="709"/>
        <w:jc w:val="both"/>
        <w:rPr>
          <w:sz w:val="8"/>
          <w:szCs w:val="8"/>
        </w:rPr>
      </w:pPr>
    </w:p>
    <w:p w:rsidR="00197C0D" w:rsidRPr="00197C0D" w:rsidRDefault="00197C0D" w:rsidP="00197C0D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689"/>
        <w:jc w:val="both"/>
      </w:pPr>
      <w:proofErr w:type="gramStart"/>
      <w:r w:rsidRPr="00197C0D">
        <w:rPr>
          <w:b/>
          <w:bCs/>
        </w:rPr>
        <w:t>По заявкам на поручительство Хозяйствующих субъектов, сформированных в рамках Механизма без повторного андеррайтинга</w:t>
      </w:r>
      <w:r w:rsidRPr="00197C0D">
        <w:rPr>
          <w:bCs/>
        </w:rPr>
        <w:t xml:space="preserve"> (на условиях, определенных в</w:t>
      </w:r>
      <w:r w:rsidRPr="00197C0D">
        <w:rPr>
          <w:b/>
          <w:bCs/>
        </w:rPr>
        <w:t xml:space="preserve"> Приложениях № 8</w:t>
      </w:r>
      <w:r w:rsidRPr="00197C0D">
        <w:rPr>
          <w:bCs/>
        </w:rPr>
        <w:t xml:space="preserve"> к Регламентам предоставления поручительств НКО «Гарантийный фонд РО» и исполнения обязательств по договорам поручительства, заключенным в обеспечение кредитных договоров и договоров займа, </w:t>
      </w:r>
      <w:r w:rsidRPr="00197C0D">
        <w:t>договоров о предоставлении банковск</w:t>
      </w:r>
      <w:r w:rsidR="008B5BF4">
        <w:t>ой</w:t>
      </w:r>
      <w:r w:rsidRPr="00197C0D">
        <w:t xml:space="preserve"> гаранти</w:t>
      </w:r>
      <w:r w:rsidR="008B5BF4">
        <w:t>и</w:t>
      </w:r>
      <w:r w:rsidRPr="00197C0D">
        <w:rPr>
          <w:bCs/>
        </w:rPr>
        <w:t>, расчет вознаграждения за поручительство осуществляется с применением следующих ставок:</w:t>
      </w:r>
      <w:proofErr w:type="gramEnd"/>
    </w:p>
    <w:p w:rsidR="00197C0D" w:rsidRPr="00197C0D" w:rsidRDefault="00197C0D" w:rsidP="004B7B98">
      <w:pPr>
        <w:pStyle w:val="a5"/>
        <w:numPr>
          <w:ilvl w:val="2"/>
          <w:numId w:val="25"/>
        </w:numPr>
        <w:tabs>
          <w:tab w:val="left" w:pos="0"/>
          <w:tab w:val="left" w:pos="1418"/>
        </w:tabs>
        <w:ind w:left="0" w:firstLine="709"/>
        <w:jc w:val="both"/>
        <w:rPr>
          <w:bCs/>
        </w:rPr>
      </w:pPr>
      <w:r w:rsidRPr="00197C0D">
        <w:rPr>
          <w:bCs/>
        </w:rPr>
        <w:t>1,00 % годовых от суммы поручительства по договору, заключенному с Хозяйствующим субъектом, осуществляющим деятельность в отрасли торговли (оптовой и (или) розничной) на основании сведений о коде ОКВЭД, полученных из выписки ЕГРЮЛ/ ЕГРИП;</w:t>
      </w:r>
    </w:p>
    <w:p w:rsidR="00197C0D" w:rsidRDefault="00197C0D" w:rsidP="004B7B98">
      <w:pPr>
        <w:pStyle w:val="a5"/>
        <w:numPr>
          <w:ilvl w:val="2"/>
          <w:numId w:val="25"/>
        </w:numPr>
        <w:tabs>
          <w:tab w:val="left" w:pos="0"/>
          <w:tab w:val="left" w:pos="1418"/>
        </w:tabs>
        <w:ind w:left="0" w:firstLine="709"/>
        <w:jc w:val="both"/>
        <w:rPr>
          <w:bCs/>
        </w:rPr>
      </w:pPr>
      <w:r w:rsidRPr="00197C0D">
        <w:rPr>
          <w:bCs/>
        </w:rPr>
        <w:t>0,75% годовых от суммы поручительства по договору, заключенному с Хозяйствующим субъектом, который осуществляет деятельность в прочих отраслях.</w:t>
      </w:r>
    </w:p>
    <w:p w:rsidR="00835985" w:rsidRPr="00835985" w:rsidRDefault="00835985" w:rsidP="00835985">
      <w:pPr>
        <w:pStyle w:val="a5"/>
        <w:tabs>
          <w:tab w:val="left" w:pos="0"/>
          <w:tab w:val="left" w:pos="1418"/>
        </w:tabs>
        <w:ind w:left="709"/>
        <w:jc w:val="both"/>
        <w:rPr>
          <w:bCs/>
          <w:sz w:val="12"/>
          <w:szCs w:val="12"/>
        </w:rPr>
      </w:pPr>
    </w:p>
    <w:p w:rsidR="00631156" w:rsidRPr="002B45C5" w:rsidRDefault="006B353A" w:rsidP="008F2DD5">
      <w:pPr>
        <w:pStyle w:val="a5"/>
        <w:numPr>
          <w:ilvl w:val="0"/>
          <w:numId w:val="25"/>
        </w:numPr>
        <w:ind w:firstLine="689"/>
        <w:jc w:val="center"/>
        <w:rPr>
          <w:b/>
        </w:rPr>
      </w:pPr>
      <w:r w:rsidRPr="002B45C5">
        <w:rPr>
          <w:b/>
        </w:rPr>
        <w:t>Ставки вознаграждения за пролонгацию договора поручительства</w:t>
      </w:r>
      <w:r w:rsidR="009A5F3A" w:rsidRPr="002B45C5">
        <w:rPr>
          <w:b/>
        </w:rPr>
        <w:t>,</w:t>
      </w:r>
      <w:r w:rsidR="001747B9" w:rsidRPr="002B45C5">
        <w:rPr>
          <w:b/>
        </w:rPr>
        <w:t xml:space="preserve"> </w:t>
      </w:r>
    </w:p>
    <w:p w:rsidR="00AC600E" w:rsidRPr="00973193" w:rsidRDefault="001747B9" w:rsidP="006A213D">
      <w:pPr>
        <w:pStyle w:val="a5"/>
        <w:ind w:left="360" w:firstLine="689"/>
        <w:jc w:val="center"/>
        <w:rPr>
          <w:b/>
        </w:rPr>
      </w:pPr>
      <w:r w:rsidRPr="00973193">
        <w:rPr>
          <w:b/>
        </w:rPr>
        <w:t>порядок оплаты вознаграждения</w:t>
      </w:r>
    </w:p>
    <w:p w:rsidR="00A677A3" w:rsidRPr="00973193" w:rsidRDefault="00A677A3" w:rsidP="006A213D">
      <w:pPr>
        <w:pStyle w:val="a5"/>
        <w:ind w:left="360" w:firstLine="689"/>
        <w:jc w:val="center"/>
        <w:rPr>
          <w:b/>
          <w:sz w:val="12"/>
          <w:szCs w:val="12"/>
        </w:rPr>
      </w:pPr>
    </w:p>
    <w:p w:rsidR="00E44FF5" w:rsidRPr="00973193" w:rsidRDefault="00E07B93" w:rsidP="00D70332">
      <w:pPr>
        <w:pStyle w:val="a5"/>
        <w:numPr>
          <w:ilvl w:val="1"/>
          <w:numId w:val="25"/>
        </w:numPr>
        <w:tabs>
          <w:tab w:val="left" w:pos="1134"/>
        </w:tabs>
        <w:ind w:left="0" w:firstLine="689"/>
        <w:jc w:val="both"/>
      </w:pPr>
      <w:proofErr w:type="gramStart"/>
      <w:r w:rsidRPr="00973193">
        <w:t xml:space="preserve">В случае принятия </w:t>
      </w:r>
      <w:r w:rsidR="006B353A" w:rsidRPr="00973193">
        <w:t>Комиссией Фонда положительного решения</w:t>
      </w:r>
      <w:r w:rsidRPr="00973193">
        <w:t xml:space="preserve"> об увеличении срока действ</w:t>
      </w:r>
      <w:r w:rsidR="00695480" w:rsidRPr="00973193">
        <w:t xml:space="preserve">ия поручительства </w:t>
      </w:r>
      <w:r w:rsidR="006B353A" w:rsidRPr="00973193">
        <w:t>(пролонгации) на основании запроса, поступивше</w:t>
      </w:r>
      <w:r w:rsidR="009A5F3A" w:rsidRPr="00973193">
        <w:t>го</w:t>
      </w:r>
      <w:r w:rsidR="006B353A" w:rsidRPr="00973193">
        <w:t xml:space="preserve"> от финансовой организации</w:t>
      </w:r>
      <w:r w:rsidRPr="00973193">
        <w:t xml:space="preserve"> (в </w:t>
      </w:r>
      <w:r w:rsidR="006B353A" w:rsidRPr="00973193">
        <w:t>соответствии с</w:t>
      </w:r>
      <w:r w:rsidRPr="00973193">
        <w:t xml:space="preserve"> требовани</w:t>
      </w:r>
      <w:r w:rsidR="006B353A" w:rsidRPr="00973193">
        <w:t>ями</w:t>
      </w:r>
      <w:r w:rsidRPr="00973193">
        <w:t xml:space="preserve"> Регламентов предоставления поручительств Фонда, в части согласования внесения изменений в действующий договор поручительства), </w:t>
      </w:r>
      <w:r w:rsidR="006B353A" w:rsidRPr="00973193">
        <w:t xml:space="preserve">Хозяйствующий субъект оплачивает </w:t>
      </w:r>
      <w:r w:rsidR="006B353A" w:rsidRPr="00973193">
        <w:rPr>
          <w:b/>
        </w:rPr>
        <w:t xml:space="preserve">вознаграждение Фонду </w:t>
      </w:r>
      <w:r w:rsidRPr="00973193">
        <w:rPr>
          <w:b/>
        </w:rPr>
        <w:t xml:space="preserve">за дополнительный период действия </w:t>
      </w:r>
      <w:r w:rsidR="00E44FF5" w:rsidRPr="00973193">
        <w:rPr>
          <w:b/>
        </w:rPr>
        <w:t>поручительства</w:t>
      </w:r>
      <w:r w:rsidR="00094A66" w:rsidRPr="00973193">
        <w:rPr>
          <w:b/>
        </w:rPr>
        <w:t>, расчет которого осуществляется с применением следующих ставок:</w:t>
      </w:r>
      <w:proofErr w:type="gramEnd"/>
    </w:p>
    <w:p w:rsidR="000F1A7B" w:rsidRPr="00973193" w:rsidRDefault="000F1A7B" w:rsidP="00D70332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jc w:val="both"/>
      </w:pPr>
      <w:proofErr w:type="gramStart"/>
      <w:r w:rsidRPr="00973193">
        <w:rPr>
          <w:b/>
        </w:rPr>
        <w:t xml:space="preserve">0,50 % </w:t>
      </w:r>
      <w:r w:rsidRPr="00973193">
        <w:t>годовых от (пролонгируемой) суммы поручительства по договору</w:t>
      </w:r>
      <w:r w:rsidR="00030482" w:rsidRPr="00973193">
        <w:t xml:space="preserve">, заключенному с </w:t>
      </w:r>
      <w:r w:rsidRPr="00973193">
        <w:t>Хозяйствующ</w:t>
      </w:r>
      <w:r w:rsidR="00030482" w:rsidRPr="00973193">
        <w:t>им</w:t>
      </w:r>
      <w:r w:rsidRPr="00973193">
        <w:t xml:space="preserve"> субъект</w:t>
      </w:r>
      <w:r w:rsidR="00030482" w:rsidRPr="00973193">
        <w:t>ом,</w:t>
      </w:r>
      <w:r w:rsidRPr="00973193">
        <w:t xml:space="preserve"> </w:t>
      </w:r>
      <w:r w:rsidR="00D66337" w:rsidRPr="00973193">
        <w:rPr>
          <w:b/>
        </w:rPr>
        <w:t>относящ</w:t>
      </w:r>
      <w:r w:rsidR="00C43F35" w:rsidRPr="00973193">
        <w:rPr>
          <w:b/>
        </w:rPr>
        <w:t>и</w:t>
      </w:r>
      <w:r w:rsidR="00D66337" w:rsidRPr="00973193">
        <w:rPr>
          <w:b/>
        </w:rPr>
        <w:t>мся к сфере деятельности</w:t>
      </w:r>
      <w:r w:rsidR="00D66337" w:rsidRPr="00973193">
        <w:t xml:space="preserve"> (на основании сведений о коде ОКВЭД, полученных из выписки ЕГРЮЛ/ ЕГРИП)</w:t>
      </w:r>
      <w:r w:rsidR="00A677A3" w:rsidRPr="00973193">
        <w:t xml:space="preserve"> </w:t>
      </w:r>
      <w:r w:rsidR="00D66337" w:rsidRPr="00973193">
        <w:t xml:space="preserve">из </w:t>
      </w:r>
      <w:r w:rsidR="00D66337" w:rsidRPr="00973193">
        <w:rPr>
          <w:b/>
        </w:rPr>
        <w:t>Перечня отраслей российской экономики, в наибольшей степени пострадавших в условиях ухудшения ситуации в результате распространения новой коронавирусной инфекции</w:t>
      </w:r>
      <w:r w:rsidR="00D66337" w:rsidRPr="00973193">
        <w:t xml:space="preserve"> </w:t>
      </w:r>
      <w:r w:rsidR="00D66337" w:rsidRPr="00973193">
        <w:rPr>
          <w:rFonts w:eastAsia="Calibri"/>
        </w:rPr>
        <w:t xml:space="preserve">(указанных в пункте </w:t>
      </w:r>
      <w:r w:rsidR="00D66337" w:rsidRPr="00973193">
        <w:rPr>
          <w:rFonts w:eastAsia="Calibri"/>
          <w:b/>
        </w:rPr>
        <w:t>3.1.3</w:t>
      </w:r>
      <w:r w:rsidR="00D66337" w:rsidRPr="00973193">
        <w:rPr>
          <w:rFonts w:eastAsia="Calibri"/>
        </w:rPr>
        <w:t xml:space="preserve"> настоящего Порядка)</w:t>
      </w:r>
      <w:r w:rsidRPr="00973193">
        <w:t>;</w:t>
      </w:r>
      <w:proofErr w:type="gramEnd"/>
    </w:p>
    <w:p w:rsidR="00030482" w:rsidRPr="00973193" w:rsidRDefault="00030482" w:rsidP="00D70332">
      <w:pPr>
        <w:pStyle w:val="a5"/>
        <w:numPr>
          <w:ilvl w:val="2"/>
          <w:numId w:val="25"/>
        </w:numPr>
        <w:tabs>
          <w:tab w:val="left" w:pos="1134"/>
        </w:tabs>
        <w:ind w:left="0" w:firstLine="709"/>
        <w:jc w:val="both"/>
      </w:pPr>
      <w:r w:rsidRPr="00973193">
        <w:rPr>
          <w:b/>
        </w:rPr>
        <w:t>1,00 %</w:t>
      </w:r>
      <w:r w:rsidRPr="00973193">
        <w:t xml:space="preserve"> годовых от (пролонгируемой) суммы поручительства (распространяется на договоры с Хозяйствующими субъектами, которые не соответствуют требованиям п.</w:t>
      </w:r>
      <w:r w:rsidR="00A17DCB" w:rsidRPr="00973193">
        <w:t xml:space="preserve"> </w:t>
      </w:r>
      <w:r w:rsidR="00973193" w:rsidRPr="00973193">
        <w:t>3</w:t>
      </w:r>
      <w:r w:rsidRPr="00973193">
        <w:t>.1.</w:t>
      </w:r>
      <w:r w:rsidR="00973193" w:rsidRPr="00973193">
        <w:t>3</w:t>
      </w:r>
      <w:r w:rsidRPr="00973193">
        <w:t>, независимо от первоначальных условий, целей, срока пролонгируемого договора поручительства).</w:t>
      </w:r>
    </w:p>
    <w:p w:rsidR="004332C0" w:rsidRPr="00973193" w:rsidRDefault="004332C0" w:rsidP="00D70332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689"/>
        <w:jc w:val="both"/>
      </w:pPr>
      <w:r w:rsidRPr="00973193">
        <w:rPr>
          <w:b/>
        </w:rPr>
        <w:t xml:space="preserve">Оплата вознаграждения Фонду за пролонгацию </w:t>
      </w:r>
      <w:r w:rsidRPr="00973193">
        <w:t>договора поручительства выполняется Хозяйствующим субъект</w:t>
      </w:r>
      <w:r w:rsidR="00744D6E" w:rsidRPr="00973193">
        <w:t>ом</w:t>
      </w:r>
      <w:r w:rsidRPr="00973193">
        <w:t xml:space="preserve"> после подписания сторонами дополнительного соглашения к договору поручительства на основании счета, в порядке и сроки, установленные </w:t>
      </w:r>
      <w:r w:rsidR="000D21DB" w:rsidRPr="00973193">
        <w:t>вышеназванным соглашением</w:t>
      </w:r>
      <w:r w:rsidRPr="00973193">
        <w:t>.</w:t>
      </w:r>
    </w:p>
    <w:p w:rsidR="00744D6E" w:rsidRPr="00973193" w:rsidRDefault="00744D6E" w:rsidP="00D70332">
      <w:pPr>
        <w:tabs>
          <w:tab w:val="left" w:pos="1134"/>
          <w:tab w:val="left" w:pos="1276"/>
        </w:tabs>
        <w:ind w:firstLine="709"/>
        <w:jc w:val="both"/>
      </w:pPr>
      <w:r w:rsidRPr="00973193">
        <w:t xml:space="preserve">Комиссией Фонда на основании письменного заявления Хозяйствующего субъекта и с письменного согласия финансовой организации, может быть рассмотрен вопрос </w:t>
      </w:r>
      <w:r w:rsidRPr="00973193">
        <w:rPr>
          <w:b/>
        </w:rPr>
        <w:t>о предоставлении</w:t>
      </w:r>
      <w:r w:rsidRPr="00973193">
        <w:t xml:space="preserve"> </w:t>
      </w:r>
      <w:r w:rsidRPr="00973193">
        <w:rPr>
          <w:b/>
        </w:rPr>
        <w:t xml:space="preserve">отсрочки </w:t>
      </w:r>
      <w:r w:rsidRPr="00973193">
        <w:t>и (или)</w:t>
      </w:r>
      <w:r w:rsidRPr="00973193">
        <w:rPr>
          <w:b/>
        </w:rPr>
        <w:t xml:space="preserve"> рассрочки</w:t>
      </w:r>
      <w:r w:rsidRPr="00973193">
        <w:t xml:space="preserve"> при уплате суммы вознаграждения Фонду за пролонгацию договора.</w:t>
      </w:r>
    </w:p>
    <w:p w:rsidR="00923FD2" w:rsidRPr="008B5BF4" w:rsidRDefault="00923FD2" w:rsidP="00D70332">
      <w:pPr>
        <w:tabs>
          <w:tab w:val="left" w:pos="1134"/>
          <w:tab w:val="left" w:pos="1276"/>
        </w:tabs>
        <w:ind w:firstLine="709"/>
        <w:jc w:val="both"/>
        <w:rPr>
          <w:sz w:val="12"/>
          <w:szCs w:val="12"/>
        </w:rPr>
      </w:pPr>
    </w:p>
    <w:p w:rsidR="00DA35BB" w:rsidRPr="00923FD2" w:rsidRDefault="007C0741" w:rsidP="008F2DD5">
      <w:pPr>
        <w:pStyle w:val="a5"/>
        <w:numPr>
          <w:ilvl w:val="0"/>
          <w:numId w:val="25"/>
        </w:numPr>
        <w:tabs>
          <w:tab w:val="left" w:pos="2694"/>
          <w:tab w:val="left" w:pos="3544"/>
          <w:tab w:val="left" w:pos="5529"/>
          <w:tab w:val="left" w:pos="5954"/>
          <w:tab w:val="left" w:pos="6096"/>
        </w:tabs>
        <w:ind w:firstLine="2901"/>
        <w:rPr>
          <w:b/>
        </w:rPr>
      </w:pPr>
      <w:r w:rsidRPr="002B45C5">
        <w:rPr>
          <w:b/>
        </w:rPr>
        <w:t>Заключительные положения</w:t>
      </w:r>
    </w:p>
    <w:p w:rsidR="00923FD2" w:rsidRPr="00973193" w:rsidRDefault="00923FD2" w:rsidP="00923FD2">
      <w:pPr>
        <w:pStyle w:val="a5"/>
        <w:tabs>
          <w:tab w:val="left" w:pos="2694"/>
          <w:tab w:val="left" w:pos="3544"/>
          <w:tab w:val="left" w:pos="5529"/>
          <w:tab w:val="left" w:pos="5954"/>
          <w:tab w:val="left" w:pos="6096"/>
        </w:tabs>
        <w:ind w:left="3261"/>
        <w:rPr>
          <w:b/>
          <w:sz w:val="12"/>
          <w:szCs w:val="12"/>
        </w:rPr>
      </w:pPr>
    </w:p>
    <w:p w:rsidR="00A674EC" w:rsidRPr="002B45C5" w:rsidRDefault="00A674EC" w:rsidP="008F2DD5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689"/>
        <w:jc w:val="both"/>
      </w:pPr>
      <w:r w:rsidRPr="002B45C5">
        <w:t>При сумме поручительства более 50 000 000 (Пятидесяти миллионов) рублей вознаграждение за предоставленное поручительство по заявлению Хозяйствующего субъекта или финансовой организации подлежит ежегодному пересчету</w:t>
      </w:r>
      <w:r w:rsidR="00973193">
        <w:t>,</w:t>
      </w:r>
      <w:r w:rsidRPr="002B45C5">
        <w:t xml:space="preserve"> исходя из остатка суммы обязательств Хозяйствующего субъекта по состоянию на дату начала следующего финансового года. Заявления на перерасчет вознаграждения </w:t>
      </w:r>
      <w:r w:rsidR="00973193" w:rsidRPr="002B45C5">
        <w:t>п</w:t>
      </w:r>
      <w:r w:rsidR="00973193">
        <w:t>редоставляет</w:t>
      </w:r>
      <w:r w:rsidR="00973193" w:rsidRPr="002B45C5">
        <w:t xml:space="preserve"> </w:t>
      </w:r>
      <w:r w:rsidRPr="002B45C5">
        <w:t>финансовая организация или Хозяйствующий субъе</w:t>
      </w:r>
      <w:proofErr w:type="gramStart"/>
      <w:r w:rsidRPr="002B45C5">
        <w:t xml:space="preserve">кт </w:t>
      </w:r>
      <w:r w:rsidR="00973193">
        <w:t>в ср</w:t>
      </w:r>
      <w:proofErr w:type="gramEnd"/>
      <w:r w:rsidR="00973193">
        <w:t xml:space="preserve">ок </w:t>
      </w:r>
      <w:r w:rsidRPr="002B45C5">
        <w:t>не позднее чем через 30 (Тридцать) календарных дней после начала текущего финансового года.</w:t>
      </w:r>
    </w:p>
    <w:p w:rsidR="00DA35BB" w:rsidRDefault="00105C60" w:rsidP="00923FD2">
      <w:pPr>
        <w:pStyle w:val="a5"/>
        <w:numPr>
          <w:ilvl w:val="1"/>
          <w:numId w:val="25"/>
        </w:numPr>
        <w:tabs>
          <w:tab w:val="left" w:pos="709"/>
          <w:tab w:val="left" w:pos="1134"/>
          <w:tab w:val="left" w:pos="1276"/>
        </w:tabs>
        <w:ind w:left="0" w:firstLine="689"/>
        <w:jc w:val="both"/>
      </w:pPr>
      <w:r w:rsidRPr="00923FD2">
        <w:t xml:space="preserve">Требования </w:t>
      </w:r>
      <w:r w:rsidR="00DA35BB" w:rsidRPr="00923FD2">
        <w:t>положений Регламент</w:t>
      </w:r>
      <w:r w:rsidR="007C0741" w:rsidRPr="00923FD2">
        <w:t>ов</w:t>
      </w:r>
      <w:r w:rsidR="00DA35BB" w:rsidRPr="00923FD2">
        <w:t xml:space="preserve"> предоставления поручительств </w:t>
      </w:r>
      <w:r w:rsidR="00923FD2" w:rsidRPr="00923FD2">
        <w:t xml:space="preserve">Некоммерческой организацией </w:t>
      </w:r>
      <w:r w:rsidR="00DA35BB" w:rsidRPr="00923FD2">
        <w:t>«Гарантийный фонд Р</w:t>
      </w:r>
      <w:r w:rsidR="00923FD2" w:rsidRPr="00923FD2">
        <w:t>остовской области</w:t>
      </w:r>
      <w:r w:rsidR="00DA35BB" w:rsidRPr="00923FD2">
        <w:t>»</w:t>
      </w:r>
      <w:r w:rsidR="00923FD2" w:rsidRPr="00923FD2">
        <w:t xml:space="preserve"> и исполнения обязательств по договорам поручительства, заключенным в обеспечение кредитных договоров и договоров займа</w:t>
      </w:r>
      <w:r w:rsidR="00973193">
        <w:t>,</w:t>
      </w:r>
      <w:r w:rsidR="00923FD2" w:rsidRPr="00923FD2">
        <w:t xml:space="preserve">  </w:t>
      </w:r>
      <w:r w:rsidR="007C0741" w:rsidRPr="002B45C5">
        <w:t>договор</w:t>
      </w:r>
      <w:r w:rsidR="00923FD2" w:rsidRPr="00923FD2">
        <w:t>ов</w:t>
      </w:r>
      <w:r w:rsidR="007C0741" w:rsidRPr="002B45C5">
        <w:t xml:space="preserve"> о предоставлении банковской гарантии, договор</w:t>
      </w:r>
      <w:r w:rsidR="00923FD2" w:rsidRPr="00923FD2">
        <w:t>ов финансовой аренды (</w:t>
      </w:r>
      <w:r w:rsidR="007C0741" w:rsidRPr="002B45C5">
        <w:t>лизинга)</w:t>
      </w:r>
      <w:r w:rsidR="00973193">
        <w:t>,</w:t>
      </w:r>
      <w:r w:rsidR="007C0741" w:rsidRPr="002B45C5">
        <w:t xml:space="preserve"> </w:t>
      </w:r>
      <w:r w:rsidRPr="002B45C5">
        <w:t xml:space="preserve">также </w:t>
      </w:r>
      <w:r w:rsidR="00CB2546" w:rsidRPr="002B45C5">
        <w:t xml:space="preserve">распространяются на </w:t>
      </w:r>
      <w:r w:rsidR="00DA35BB" w:rsidRPr="002B45C5">
        <w:t>настоящ</w:t>
      </w:r>
      <w:r w:rsidR="00CB2546" w:rsidRPr="002B45C5">
        <w:t>ий</w:t>
      </w:r>
      <w:r w:rsidR="00DA35BB" w:rsidRPr="002B45C5">
        <w:t xml:space="preserve"> Поряд</w:t>
      </w:r>
      <w:r w:rsidR="00CB2546" w:rsidRPr="002B45C5">
        <w:t>ок</w:t>
      </w:r>
      <w:r w:rsidR="00DA35BB" w:rsidRPr="002B45C5">
        <w:t>.</w:t>
      </w:r>
    </w:p>
    <w:p w:rsidR="00923FD2" w:rsidRPr="00923FD2" w:rsidRDefault="001A4C9E" w:rsidP="008F2DD5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70B9E">
        <w:rPr>
          <w:color w:val="auto"/>
        </w:rPr>
        <w:t>Настоящий Порядок и все изменения к нему утверждаются Коллегиальным советом</w:t>
      </w:r>
      <w:r w:rsidR="00E91E02" w:rsidRPr="00570B9E">
        <w:rPr>
          <w:color w:val="auto"/>
        </w:rPr>
        <w:t xml:space="preserve"> Фонда</w:t>
      </w:r>
      <w:r w:rsidRPr="00570B9E">
        <w:rPr>
          <w:color w:val="auto"/>
        </w:rPr>
        <w:t xml:space="preserve">. </w:t>
      </w:r>
    </w:p>
    <w:p w:rsidR="00A76D61" w:rsidRPr="00570B9E" w:rsidRDefault="001A4C9E" w:rsidP="008F2DD5">
      <w:pPr>
        <w:pStyle w:val="a5"/>
        <w:numPr>
          <w:ilvl w:val="1"/>
          <w:numId w:val="25"/>
        </w:numPr>
        <w:tabs>
          <w:tab w:val="left" w:pos="1134"/>
          <w:tab w:val="left" w:pos="1276"/>
        </w:tabs>
        <w:ind w:left="0" w:firstLine="709"/>
        <w:jc w:val="both"/>
        <w:rPr>
          <w:sz w:val="28"/>
          <w:szCs w:val="28"/>
        </w:rPr>
      </w:pPr>
      <w:r w:rsidRPr="00570B9E">
        <w:rPr>
          <w:color w:val="auto"/>
        </w:rPr>
        <w:t xml:space="preserve">Настоящий Порядок и все изменения к нему считаются вступившими в силу по истечении </w:t>
      </w:r>
      <w:r w:rsidRPr="00570B9E">
        <w:rPr>
          <w:b/>
          <w:color w:val="auto"/>
        </w:rPr>
        <w:t>10 (десяти) дней</w:t>
      </w:r>
      <w:r w:rsidRPr="00570B9E">
        <w:rPr>
          <w:color w:val="auto"/>
        </w:rPr>
        <w:t xml:space="preserve"> со дня их опубликования на официальном сайте Фонда  </w:t>
      </w:r>
      <w:hyperlink r:id="rId9" w:history="1">
        <w:r w:rsidRPr="00570B9E">
          <w:rPr>
            <w:b/>
            <w:color w:val="0000FF"/>
            <w:u w:val="single"/>
            <w:lang w:val="en-US"/>
          </w:rPr>
          <w:t>www</w:t>
        </w:r>
        <w:r w:rsidRPr="00570B9E">
          <w:rPr>
            <w:b/>
            <w:color w:val="0000FF"/>
            <w:u w:val="single"/>
          </w:rPr>
          <w:t>.dongarant.ru</w:t>
        </w:r>
      </w:hyperlink>
      <w:r w:rsidRPr="00570B9E">
        <w:rPr>
          <w:b/>
          <w:color w:val="auto"/>
        </w:rPr>
        <w:t xml:space="preserve">, </w:t>
      </w:r>
      <w:r w:rsidRPr="00570B9E">
        <w:rPr>
          <w:color w:val="auto"/>
        </w:rPr>
        <w:t>если иное не установлено в протоколе заседания Коллегиального совета Фонда.</w:t>
      </w:r>
    </w:p>
    <w:sectPr w:rsidR="00A76D61" w:rsidRPr="00570B9E" w:rsidSect="00423446">
      <w:headerReference w:type="default" r:id="rId10"/>
      <w:footerReference w:type="default" r:id="rId11"/>
      <w:footerReference w:type="first" r:id="rId12"/>
      <w:pgSz w:w="11906" w:h="16838"/>
      <w:pgMar w:top="674" w:right="566" w:bottom="568" w:left="1134" w:header="284" w:footer="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7FC" w:rsidRDefault="00A377FC">
      <w:r>
        <w:separator/>
      </w:r>
    </w:p>
  </w:endnote>
  <w:endnote w:type="continuationSeparator" w:id="0">
    <w:p w:rsidR="00A377FC" w:rsidRDefault="00A377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8908003"/>
      <w:docPartObj>
        <w:docPartGallery w:val="Page Numbers (Bottom of Page)"/>
        <w:docPartUnique/>
      </w:docPartObj>
    </w:sdtPr>
    <w:sdtContent>
      <w:p w:rsidR="00A377FC" w:rsidRDefault="00A377FC">
        <w:pPr>
          <w:pStyle w:val="af2"/>
          <w:jc w:val="center"/>
        </w:pPr>
        <w:r>
          <w:rPr>
            <w:noProof/>
          </w:rPr>
          <mc:AlternateContent>
            <mc:Choice Requires="wps">
              <w:drawing>
                <wp:inline distT="0" distB="0" distL="0" distR="0" wp14:anchorId="285BD6FE" wp14:editId="66539F6B">
                  <wp:extent cx="6828155" cy="45085"/>
                  <wp:effectExtent l="9525" t="9525" r="1270" b="2540"/>
                  <wp:docPr id="1" name="Автофигура 1" descr="Описание: Светлый горизонтальный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682815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Автофигура 1" o:spid="_x0000_s1026" type="#_x0000_t110" alt="Описание: Описание: Светлый горизонтальный" style="width:537.6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A377FC" w:rsidRDefault="00A377FC">
        <w:pPr>
          <w:pStyle w:val="af2"/>
          <w:jc w:val="center"/>
        </w:pPr>
        <w:r>
          <w:fldChar w:fldCharType="begin"/>
        </w:r>
        <w:r>
          <w:instrText>PAGE    \* MERGEFORMAT</w:instrText>
        </w:r>
        <w:r>
          <w:fldChar w:fldCharType="separate"/>
        </w:r>
        <w:r w:rsidR="009E032A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377FC" w:rsidRDefault="00A377FC">
    <w:pPr>
      <w:tabs>
        <w:tab w:val="center" w:pos="4677"/>
        <w:tab w:val="right" w:pos="9355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FC" w:rsidRDefault="00A377FC">
    <w:pPr>
      <w:pStyle w:val="af2"/>
      <w:jc w:val="center"/>
    </w:pPr>
  </w:p>
  <w:p w:rsidR="00A377FC" w:rsidRDefault="00A377FC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7FC" w:rsidRDefault="00A377FC">
      <w:r>
        <w:separator/>
      </w:r>
    </w:p>
  </w:footnote>
  <w:footnote w:type="continuationSeparator" w:id="0">
    <w:p w:rsidR="00A377FC" w:rsidRDefault="00A377FC">
      <w:r>
        <w:continuationSeparator/>
      </w:r>
    </w:p>
  </w:footnote>
  <w:footnote w:id="1">
    <w:p w:rsidR="00A377FC" w:rsidRDefault="00A377FC" w:rsidP="001C313C">
      <w:pPr>
        <w:pStyle w:val="ad"/>
        <w:jc w:val="both"/>
      </w:pPr>
      <w:r w:rsidRPr="002B7BDF">
        <w:rPr>
          <w:rStyle w:val="af"/>
        </w:rPr>
        <w:footnoteRef/>
      </w:r>
      <w:r w:rsidRPr="002B7BDF">
        <w:t xml:space="preserve"> </w:t>
      </w:r>
      <w:proofErr w:type="gramStart"/>
      <w:r w:rsidRPr="002B7BDF">
        <w:rPr>
          <w:i/>
        </w:rPr>
        <w:t xml:space="preserve">Положения настоящего Порядка, касающиеся оказания поддержки физическим лицам, применяющим специальный налоговый режим «Налог на профессиональный доход», применяются в течение срока проведения эксперимента, установленного Федеральным </w:t>
      </w:r>
      <w:hyperlink r:id="rId1" w:history="1">
        <w:r w:rsidRPr="002B7BDF">
          <w:rPr>
            <w:rStyle w:val="aff"/>
            <w:i/>
            <w:color w:val="auto"/>
            <w:u w:val="none"/>
          </w:rPr>
          <w:t>законом</w:t>
        </w:r>
      </w:hyperlink>
      <w:r w:rsidRPr="002B7BDF">
        <w:rPr>
          <w:i/>
        </w:rPr>
        <w:t xml:space="preserve"> от 27 ноября 2018 г. № 422-ФЗ «О проведении эксперимента по установлению специального налогового режима «Налог на профессиональный доход», но не ранее вступления в силу нормативных правовых актов Российской Федерации, нормативных правовых актов Ростовской области, устанавливающих</w:t>
      </w:r>
      <w:proofErr w:type="gramEnd"/>
      <w:r w:rsidRPr="002B7BDF">
        <w:rPr>
          <w:i/>
        </w:rPr>
        <w:t xml:space="preserve"> (изменяющих) условия и порядок оказания поддержки, принимаемых в целях реализации государственных программ (подпрограмм) Российской Федерации, государственной программы Ростовской области «Экономическое развитие и инновационная экономика» (в соответствии с требованиями ст. 14.1. </w:t>
      </w:r>
      <w:proofErr w:type="gramStart"/>
      <w:r w:rsidRPr="002B7BDF">
        <w:rPr>
          <w:i/>
        </w:rPr>
        <w:t>Федерального закона №</w:t>
      </w:r>
      <w:r>
        <w:rPr>
          <w:i/>
        </w:rPr>
        <w:t xml:space="preserve"> </w:t>
      </w:r>
      <w:r w:rsidRPr="002B7BDF">
        <w:rPr>
          <w:i/>
        </w:rPr>
        <w:t>209-ФЗ)</w:t>
      </w:r>
      <w:proofErr w:type="gramEnd"/>
    </w:p>
    <w:p w:rsidR="00A377FC" w:rsidRDefault="00A377FC" w:rsidP="001C313C">
      <w:pPr>
        <w:pStyle w:val="ad"/>
      </w:pPr>
    </w:p>
  </w:footnote>
  <w:footnote w:id="2">
    <w:p w:rsidR="00A377FC" w:rsidRPr="00D55522" w:rsidRDefault="00A377FC" w:rsidP="003B7E27">
      <w:pPr>
        <w:pStyle w:val="ad"/>
        <w:jc w:val="both"/>
        <w:rPr>
          <w:i/>
          <w:sz w:val="18"/>
          <w:szCs w:val="18"/>
        </w:rPr>
      </w:pPr>
      <w:r w:rsidRPr="00D55522">
        <w:rPr>
          <w:rStyle w:val="af"/>
          <w:sz w:val="18"/>
          <w:szCs w:val="18"/>
        </w:rPr>
        <w:footnoteRef/>
      </w:r>
      <w:r w:rsidRPr="00D55522">
        <w:rPr>
          <w:i/>
          <w:sz w:val="18"/>
          <w:szCs w:val="18"/>
        </w:rPr>
        <w:t xml:space="preserve"> </w:t>
      </w:r>
      <w:proofErr w:type="gramStart"/>
      <w:r w:rsidRPr="00D55522">
        <w:rPr>
          <w:i/>
          <w:sz w:val="18"/>
          <w:szCs w:val="18"/>
        </w:rPr>
        <w:t xml:space="preserve">В случае внесения изменений в Перечень отраслей российской экономики, в наибольшей степени пострадавших в условиях ухудшения ситуации в результате распространения новой </w:t>
      </w:r>
      <w:proofErr w:type="spellStart"/>
      <w:r w:rsidRPr="00D55522">
        <w:rPr>
          <w:i/>
          <w:sz w:val="18"/>
          <w:szCs w:val="18"/>
        </w:rPr>
        <w:t>коронавирусной</w:t>
      </w:r>
      <w:proofErr w:type="spellEnd"/>
      <w:r w:rsidRPr="00D55522">
        <w:rPr>
          <w:i/>
          <w:sz w:val="18"/>
          <w:szCs w:val="18"/>
        </w:rPr>
        <w:t xml:space="preserve"> инфекции на уровне Правительства Российской Федерации - актуальный перечень видов деятельности применяется без внесения изменений в Регламенты предоставления поручительств Фонда (в обеспечение кредитных договоров и договоров займа, договоров о предоставлении банковск</w:t>
      </w:r>
      <w:r>
        <w:rPr>
          <w:i/>
          <w:sz w:val="18"/>
          <w:szCs w:val="18"/>
        </w:rPr>
        <w:t xml:space="preserve">ой </w:t>
      </w:r>
      <w:r w:rsidRPr="00D55522">
        <w:rPr>
          <w:i/>
          <w:sz w:val="18"/>
          <w:szCs w:val="18"/>
        </w:rPr>
        <w:t>гаранти</w:t>
      </w:r>
      <w:r>
        <w:rPr>
          <w:i/>
          <w:sz w:val="18"/>
          <w:szCs w:val="18"/>
        </w:rPr>
        <w:t>и</w:t>
      </w:r>
      <w:r w:rsidRPr="00D55522">
        <w:rPr>
          <w:i/>
          <w:sz w:val="18"/>
          <w:szCs w:val="18"/>
        </w:rPr>
        <w:t>) и настоящий Порядок</w:t>
      </w:r>
      <w:proofErr w:type="gramEnd"/>
    </w:p>
  </w:footnote>
  <w:footnote w:id="3">
    <w:p w:rsidR="00A377FC" w:rsidRPr="00665FD9" w:rsidRDefault="00A377FC" w:rsidP="003B7E27">
      <w:pPr>
        <w:pStyle w:val="ad"/>
        <w:jc w:val="both"/>
        <w:rPr>
          <w:i/>
          <w:sz w:val="18"/>
          <w:szCs w:val="18"/>
        </w:rPr>
      </w:pPr>
      <w:r w:rsidRPr="00D55522">
        <w:rPr>
          <w:rStyle w:val="af"/>
          <w:sz w:val="18"/>
          <w:szCs w:val="18"/>
        </w:rPr>
        <w:footnoteRef/>
      </w:r>
      <w:r w:rsidRPr="00D55522">
        <w:rPr>
          <w:i/>
          <w:sz w:val="18"/>
          <w:szCs w:val="18"/>
        </w:rPr>
        <w:t xml:space="preserve"> В случае если требования к Хозяйствующему субъекту по п</w:t>
      </w:r>
      <w:r>
        <w:rPr>
          <w:i/>
          <w:sz w:val="18"/>
          <w:szCs w:val="18"/>
        </w:rPr>
        <w:t>ункту</w:t>
      </w:r>
      <w:r w:rsidRPr="00D55522">
        <w:rPr>
          <w:i/>
          <w:sz w:val="18"/>
          <w:szCs w:val="18"/>
        </w:rPr>
        <w:t xml:space="preserve"> 2.2. </w:t>
      </w:r>
      <w:proofErr w:type="gramStart"/>
      <w:r w:rsidRPr="00D55522">
        <w:rPr>
          <w:i/>
          <w:sz w:val="18"/>
          <w:szCs w:val="18"/>
        </w:rPr>
        <w:t>Раздела 2 вышеуказанных Регламентов  предоставления поручительств и перечень отраслей экономики вступают в противоречие с измененными требованиями законодательства, включая нормативные акты Правительства Российской Федерации и акты федеральных органов исполнительной власти, равно как и дополнены указанными актами, то подлежат применению нормы действующего законодательства без необходимости внесения изменений в вышеуказанные Регламенты и настоящий Порядок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77FC" w:rsidRPr="003105B1" w:rsidRDefault="00A377FC" w:rsidP="001953D3">
    <w:pPr>
      <w:jc w:val="center"/>
      <w:rPr>
        <w:b/>
        <w:sz w:val="16"/>
        <w:szCs w:val="16"/>
      </w:rPr>
    </w:pPr>
    <w:r w:rsidRPr="003105B1">
      <w:rPr>
        <w:rStyle w:val="af5"/>
        <w:rFonts w:ascii="Century" w:hAnsi="Century"/>
        <w:i/>
        <w:sz w:val="16"/>
        <w:szCs w:val="16"/>
      </w:rPr>
      <w:t xml:space="preserve">Порядок расчета </w:t>
    </w:r>
    <w:r>
      <w:rPr>
        <w:rStyle w:val="af5"/>
        <w:rFonts w:ascii="Century" w:hAnsi="Century"/>
        <w:i/>
        <w:sz w:val="16"/>
        <w:szCs w:val="16"/>
      </w:rPr>
      <w:t xml:space="preserve">и оплаты </w:t>
    </w:r>
    <w:r w:rsidRPr="003105B1">
      <w:rPr>
        <w:rStyle w:val="af5"/>
        <w:rFonts w:ascii="Century" w:hAnsi="Century"/>
        <w:i/>
        <w:sz w:val="16"/>
        <w:szCs w:val="16"/>
      </w:rPr>
      <w:t>вознаграждения за поручительств</w:t>
    </w:r>
    <w:r>
      <w:rPr>
        <w:rStyle w:val="af5"/>
        <w:rFonts w:ascii="Century" w:hAnsi="Century"/>
        <w:i/>
        <w:sz w:val="16"/>
        <w:szCs w:val="16"/>
      </w:rPr>
      <w:t>о, предоставленное</w:t>
    </w:r>
    <w:r w:rsidRPr="003105B1">
      <w:rPr>
        <w:rStyle w:val="af5"/>
        <w:rFonts w:ascii="Century" w:hAnsi="Century"/>
        <w:i/>
        <w:sz w:val="16"/>
        <w:szCs w:val="16"/>
      </w:rPr>
      <w:t xml:space="preserve"> НКО «Гарантийный фонд РО»</w:t>
    </w:r>
    <w:r>
      <w:rPr>
        <w:rStyle w:val="af5"/>
        <w:rFonts w:ascii="Century" w:hAnsi="Century"/>
        <w:i/>
        <w:sz w:val="16"/>
        <w:szCs w:val="16"/>
      </w:rPr>
      <w:t xml:space="preserve"> </w:t>
    </w:r>
  </w:p>
  <w:p w:rsidR="00A377FC" w:rsidRPr="003105B1" w:rsidRDefault="00A377FC" w:rsidP="003105B1">
    <w:pPr>
      <w:pStyle w:val="af0"/>
      <w:pBdr>
        <w:bottom w:val="thickThinSmallGap" w:sz="24" w:space="0" w:color="622423"/>
      </w:pBdr>
      <w:jc w:val="center"/>
      <w:rPr>
        <w:rStyle w:val="af5"/>
        <w:rFonts w:ascii="Century" w:hAnsi="Century"/>
        <w:i/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2354E"/>
    <w:multiLevelType w:val="multilevel"/>
    <w:tmpl w:val="82F0CC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504F1B"/>
    <w:multiLevelType w:val="multilevel"/>
    <w:tmpl w:val="374CDE3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22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051D502F"/>
    <w:multiLevelType w:val="multilevel"/>
    <w:tmpl w:val="9768DEF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>
    <w:nsid w:val="057E5138"/>
    <w:multiLevelType w:val="multilevel"/>
    <w:tmpl w:val="5950A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7E64453"/>
    <w:multiLevelType w:val="hybridMultilevel"/>
    <w:tmpl w:val="36EC53DA"/>
    <w:lvl w:ilvl="0" w:tplc="3F7CE8A8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502B7E"/>
    <w:multiLevelType w:val="multilevel"/>
    <w:tmpl w:val="73B455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713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6">
    <w:nsid w:val="0F04331D"/>
    <w:multiLevelType w:val="multilevel"/>
    <w:tmpl w:val="79C6376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4FF2715"/>
    <w:multiLevelType w:val="multilevel"/>
    <w:tmpl w:val="41D4C044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b/>
        <w:i w:val="0"/>
        <w:strike w:val="0"/>
      </w:rPr>
    </w:lvl>
    <w:lvl w:ilvl="3">
      <w:start w:val="1"/>
      <w:numFmt w:val="decimal"/>
      <w:lvlText w:val="%1.%2.%3.%4."/>
      <w:lvlJc w:val="left"/>
      <w:pPr>
        <w:ind w:left="1620" w:hanging="1080"/>
      </w:pPr>
      <w:rPr>
        <w:rFonts w:hint="default"/>
        <w:b w:val="0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0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600" w:hanging="2160"/>
      </w:pPr>
      <w:rPr>
        <w:rFonts w:hint="default"/>
      </w:rPr>
    </w:lvl>
  </w:abstractNum>
  <w:abstractNum w:abstractNumId="8">
    <w:nsid w:val="17CA459D"/>
    <w:multiLevelType w:val="multilevel"/>
    <w:tmpl w:val="F15E4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BA07330"/>
    <w:multiLevelType w:val="multilevel"/>
    <w:tmpl w:val="B070504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CFC2C13"/>
    <w:multiLevelType w:val="multilevel"/>
    <w:tmpl w:val="92E61C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D690D7C"/>
    <w:multiLevelType w:val="multilevel"/>
    <w:tmpl w:val="33BAF5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3A06F2C"/>
    <w:multiLevelType w:val="hybridMultilevel"/>
    <w:tmpl w:val="555E56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217BEC"/>
    <w:multiLevelType w:val="hybridMultilevel"/>
    <w:tmpl w:val="D3CA628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9D46F72"/>
    <w:multiLevelType w:val="multilevel"/>
    <w:tmpl w:val="0C22ED9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29DD38AB"/>
    <w:multiLevelType w:val="multilevel"/>
    <w:tmpl w:val="5950AA1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trike w:val="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31C227AB"/>
    <w:multiLevelType w:val="multilevel"/>
    <w:tmpl w:val="EFDA2C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trike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7">
    <w:nsid w:val="3C9B46A5"/>
    <w:multiLevelType w:val="multilevel"/>
    <w:tmpl w:val="55E83850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5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8">
    <w:nsid w:val="3CBA6ABC"/>
    <w:multiLevelType w:val="hybridMultilevel"/>
    <w:tmpl w:val="23D060F4"/>
    <w:lvl w:ilvl="0" w:tplc="0E3695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E25320"/>
    <w:multiLevelType w:val="multilevel"/>
    <w:tmpl w:val="4E4288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604089"/>
    <w:multiLevelType w:val="multilevel"/>
    <w:tmpl w:val="F15E435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D87E1C"/>
    <w:multiLevelType w:val="multilevel"/>
    <w:tmpl w:val="BD4C925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  <w:b w:val="0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2">
    <w:nsid w:val="47C92A71"/>
    <w:multiLevelType w:val="multilevel"/>
    <w:tmpl w:val="EBFCAF6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23">
    <w:nsid w:val="4EEC7166"/>
    <w:multiLevelType w:val="multilevel"/>
    <w:tmpl w:val="6BEE1E84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10A3AC0"/>
    <w:multiLevelType w:val="hybridMultilevel"/>
    <w:tmpl w:val="E78EDE9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46A3F5B"/>
    <w:multiLevelType w:val="hybridMultilevel"/>
    <w:tmpl w:val="9594FCA6"/>
    <w:lvl w:ilvl="0" w:tplc="EE2C8CD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C5496E"/>
    <w:multiLevelType w:val="multilevel"/>
    <w:tmpl w:val="8952AE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6E14CB1"/>
    <w:multiLevelType w:val="hybridMultilevel"/>
    <w:tmpl w:val="F3B88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1A6D5B"/>
    <w:multiLevelType w:val="multilevel"/>
    <w:tmpl w:val="4A5E77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b w:val="0"/>
        <w:strike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9">
    <w:nsid w:val="5EBE74CC"/>
    <w:multiLevelType w:val="multilevel"/>
    <w:tmpl w:val="24949ED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 w:val="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30">
    <w:nsid w:val="6C0C58C1"/>
    <w:multiLevelType w:val="multilevel"/>
    <w:tmpl w:val="7C52DE46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29D482B"/>
    <w:multiLevelType w:val="multilevel"/>
    <w:tmpl w:val="8952AE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  <w:b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4911DDE"/>
    <w:multiLevelType w:val="hybridMultilevel"/>
    <w:tmpl w:val="D20CD580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A10436"/>
    <w:multiLevelType w:val="hybridMultilevel"/>
    <w:tmpl w:val="633EAFD2"/>
    <w:lvl w:ilvl="0" w:tplc="3C74BACA">
      <w:start w:val="3"/>
      <w:numFmt w:val="bullet"/>
      <w:lvlText w:val=""/>
      <w:lvlJc w:val="left"/>
      <w:pPr>
        <w:ind w:left="1353" w:hanging="360"/>
      </w:pPr>
      <w:rPr>
        <w:rFonts w:ascii="Symbol" w:eastAsia="Times New Roman" w:hAnsi="Symbol" w:cs="Times New Roman" w:hint="default"/>
        <w:b w:val="0"/>
        <w:color w:val="FF0000"/>
        <w:sz w:val="20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4">
    <w:nsid w:val="75A93142"/>
    <w:multiLevelType w:val="multilevel"/>
    <w:tmpl w:val="6E589F70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5AA5023"/>
    <w:multiLevelType w:val="hybridMultilevel"/>
    <w:tmpl w:val="FBEE60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E0B5A"/>
    <w:multiLevelType w:val="hybridMultilevel"/>
    <w:tmpl w:val="72E423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0F1BBD"/>
    <w:multiLevelType w:val="multilevel"/>
    <w:tmpl w:val="3686340C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>
    <w:nsid w:val="7A8F228E"/>
    <w:multiLevelType w:val="hybridMultilevel"/>
    <w:tmpl w:val="0C824288"/>
    <w:lvl w:ilvl="0" w:tplc="C316D02E">
      <w:start w:val="2"/>
      <w:numFmt w:val="bullet"/>
      <w:lvlText w:val=""/>
      <w:lvlJc w:val="left"/>
      <w:pPr>
        <w:ind w:left="927" w:hanging="360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9">
    <w:nsid w:val="7EF55240"/>
    <w:multiLevelType w:val="multilevel"/>
    <w:tmpl w:val="3B4E765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strike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9"/>
  </w:num>
  <w:num w:numId="2">
    <w:abstractNumId w:val="0"/>
  </w:num>
  <w:num w:numId="3">
    <w:abstractNumId w:val="5"/>
  </w:num>
  <w:num w:numId="4">
    <w:abstractNumId w:val="1"/>
  </w:num>
  <w:num w:numId="5">
    <w:abstractNumId w:val="38"/>
  </w:num>
  <w:num w:numId="6">
    <w:abstractNumId w:val="32"/>
  </w:num>
  <w:num w:numId="7">
    <w:abstractNumId w:val="12"/>
  </w:num>
  <w:num w:numId="8">
    <w:abstractNumId w:val="4"/>
  </w:num>
  <w:num w:numId="9">
    <w:abstractNumId w:val="35"/>
  </w:num>
  <w:num w:numId="10">
    <w:abstractNumId w:val="16"/>
  </w:num>
  <w:num w:numId="11">
    <w:abstractNumId w:val="24"/>
  </w:num>
  <w:num w:numId="12">
    <w:abstractNumId w:val="9"/>
  </w:num>
  <w:num w:numId="13">
    <w:abstractNumId w:val="6"/>
  </w:num>
  <w:num w:numId="14">
    <w:abstractNumId w:val="13"/>
  </w:num>
  <w:num w:numId="15">
    <w:abstractNumId w:val="25"/>
  </w:num>
  <w:num w:numId="16">
    <w:abstractNumId w:val="37"/>
  </w:num>
  <w:num w:numId="17">
    <w:abstractNumId w:val="14"/>
  </w:num>
  <w:num w:numId="18">
    <w:abstractNumId w:val="36"/>
  </w:num>
  <w:num w:numId="19">
    <w:abstractNumId w:val="39"/>
  </w:num>
  <w:num w:numId="20">
    <w:abstractNumId w:val="10"/>
  </w:num>
  <w:num w:numId="21">
    <w:abstractNumId w:val="11"/>
  </w:num>
  <w:num w:numId="22">
    <w:abstractNumId w:val="17"/>
  </w:num>
  <w:num w:numId="23">
    <w:abstractNumId w:val="21"/>
  </w:num>
  <w:num w:numId="24">
    <w:abstractNumId w:val="30"/>
  </w:num>
  <w:num w:numId="25">
    <w:abstractNumId w:val="28"/>
  </w:num>
  <w:num w:numId="26">
    <w:abstractNumId w:val="33"/>
  </w:num>
  <w:num w:numId="27">
    <w:abstractNumId w:val="8"/>
  </w:num>
  <w:num w:numId="28">
    <w:abstractNumId w:val="34"/>
  </w:num>
  <w:num w:numId="29">
    <w:abstractNumId w:val="2"/>
  </w:num>
  <w:num w:numId="30">
    <w:abstractNumId w:val="20"/>
  </w:num>
  <w:num w:numId="31">
    <w:abstractNumId w:val="23"/>
  </w:num>
  <w:num w:numId="32">
    <w:abstractNumId w:val="27"/>
  </w:num>
  <w:num w:numId="33">
    <w:abstractNumId w:val="3"/>
  </w:num>
  <w:num w:numId="34">
    <w:abstractNumId w:val="15"/>
  </w:num>
  <w:num w:numId="35">
    <w:abstractNumId w:val="29"/>
  </w:num>
  <w:num w:numId="36">
    <w:abstractNumId w:val="26"/>
  </w:num>
  <w:num w:numId="37">
    <w:abstractNumId w:val="18"/>
  </w:num>
  <w:num w:numId="38">
    <w:abstractNumId w:val="31"/>
  </w:num>
  <w:num w:numId="39">
    <w:abstractNumId w:val="7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829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DAC"/>
    <w:rsid w:val="00005AF7"/>
    <w:rsid w:val="00015873"/>
    <w:rsid w:val="000238B6"/>
    <w:rsid w:val="000278AF"/>
    <w:rsid w:val="00030482"/>
    <w:rsid w:val="00034EF7"/>
    <w:rsid w:val="0004676C"/>
    <w:rsid w:val="00046CA6"/>
    <w:rsid w:val="00050003"/>
    <w:rsid w:val="00050E1F"/>
    <w:rsid w:val="00063C59"/>
    <w:rsid w:val="00071DBC"/>
    <w:rsid w:val="000722C3"/>
    <w:rsid w:val="00093400"/>
    <w:rsid w:val="000935B9"/>
    <w:rsid w:val="00094A66"/>
    <w:rsid w:val="000A333C"/>
    <w:rsid w:val="000B07B1"/>
    <w:rsid w:val="000B2120"/>
    <w:rsid w:val="000B6EFC"/>
    <w:rsid w:val="000C3FD1"/>
    <w:rsid w:val="000D21DB"/>
    <w:rsid w:val="000D3840"/>
    <w:rsid w:val="000D3F48"/>
    <w:rsid w:val="000E5BD4"/>
    <w:rsid w:val="000E663A"/>
    <w:rsid w:val="000E6EFD"/>
    <w:rsid w:val="000F14EB"/>
    <w:rsid w:val="000F1A7B"/>
    <w:rsid w:val="00105C60"/>
    <w:rsid w:val="00106885"/>
    <w:rsid w:val="00110983"/>
    <w:rsid w:val="0011109F"/>
    <w:rsid w:val="00121095"/>
    <w:rsid w:val="001235C6"/>
    <w:rsid w:val="001243C7"/>
    <w:rsid w:val="0012450E"/>
    <w:rsid w:val="0012526E"/>
    <w:rsid w:val="0012758A"/>
    <w:rsid w:val="00132F8E"/>
    <w:rsid w:val="00132FBF"/>
    <w:rsid w:val="00137E90"/>
    <w:rsid w:val="00142E5E"/>
    <w:rsid w:val="00143C93"/>
    <w:rsid w:val="001470A2"/>
    <w:rsid w:val="00150797"/>
    <w:rsid w:val="00162AC3"/>
    <w:rsid w:val="00173258"/>
    <w:rsid w:val="00173E2A"/>
    <w:rsid w:val="001747B9"/>
    <w:rsid w:val="00184A5F"/>
    <w:rsid w:val="00185196"/>
    <w:rsid w:val="00185BB9"/>
    <w:rsid w:val="00190EBE"/>
    <w:rsid w:val="001944C9"/>
    <w:rsid w:val="00194575"/>
    <w:rsid w:val="001953D3"/>
    <w:rsid w:val="00196B25"/>
    <w:rsid w:val="00197C0D"/>
    <w:rsid w:val="001A0FE7"/>
    <w:rsid w:val="001A3ED8"/>
    <w:rsid w:val="001A4456"/>
    <w:rsid w:val="001A4C9E"/>
    <w:rsid w:val="001A5F87"/>
    <w:rsid w:val="001B1A10"/>
    <w:rsid w:val="001B1B6C"/>
    <w:rsid w:val="001B2B4E"/>
    <w:rsid w:val="001B30F2"/>
    <w:rsid w:val="001C313C"/>
    <w:rsid w:val="001C3D8B"/>
    <w:rsid w:val="001C6951"/>
    <w:rsid w:val="001D361E"/>
    <w:rsid w:val="001D69B7"/>
    <w:rsid w:val="001E0344"/>
    <w:rsid w:val="001E0FA7"/>
    <w:rsid w:val="001F3251"/>
    <w:rsid w:val="001F69E2"/>
    <w:rsid w:val="00204FB4"/>
    <w:rsid w:val="00205505"/>
    <w:rsid w:val="0021669E"/>
    <w:rsid w:val="00216D14"/>
    <w:rsid w:val="00225532"/>
    <w:rsid w:val="00226719"/>
    <w:rsid w:val="00230A17"/>
    <w:rsid w:val="0023412B"/>
    <w:rsid w:val="00240369"/>
    <w:rsid w:val="00241DB6"/>
    <w:rsid w:val="00244A50"/>
    <w:rsid w:val="00254E01"/>
    <w:rsid w:val="0026348E"/>
    <w:rsid w:val="00270512"/>
    <w:rsid w:val="00295C5B"/>
    <w:rsid w:val="002965CC"/>
    <w:rsid w:val="002977D8"/>
    <w:rsid w:val="002A44D1"/>
    <w:rsid w:val="002A51EF"/>
    <w:rsid w:val="002B2A14"/>
    <w:rsid w:val="002B45C5"/>
    <w:rsid w:val="002B7BDF"/>
    <w:rsid w:val="002C1193"/>
    <w:rsid w:val="002D3864"/>
    <w:rsid w:val="002D7C12"/>
    <w:rsid w:val="002E0E77"/>
    <w:rsid w:val="002E7B5C"/>
    <w:rsid w:val="002F3C37"/>
    <w:rsid w:val="002F7974"/>
    <w:rsid w:val="00300728"/>
    <w:rsid w:val="003038ED"/>
    <w:rsid w:val="00304DCF"/>
    <w:rsid w:val="00307F29"/>
    <w:rsid w:val="003105B1"/>
    <w:rsid w:val="0031432F"/>
    <w:rsid w:val="00314AD2"/>
    <w:rsid w:val="00324D19"/>
    <w:rsid w:val="003332DF"/>
    <w:rsid w:val="00335DEA"/>
    <w:rsid w:val="00341B17"/>
    <w:rsid w:val="003429D1"/>
    <w:rsid w:val="003468B4"/>
    <w:rsid w:val="00351070"/>
    <w:rsid w:val="0035248D"/>
    <w:rsid w:val="00355987"/>
    <w:rsid w:val="00356344"/>
    <w:rsid w:val="00365078"/>
    <w:rsid w:val="00365184"/>
    <w:rsid w:val="00367D9B"/>
    <w:rsid w:val="00371654"/>
    <w:rsid w:val="0037542D"/>
    <w:rsid w:val="00380076"/>
    <w:rsid w:val="00383C70"/>
    <w:rsid w:val="003875C2"/>
    <w:rsid w:val="00392625"/>
    <w:rsid w:val="00394350"/>
    <w:rsid w:val="0039460B"/>
    <w:rsid w:val="00395783"/>
    <w:rsid w:val="003A0A7C"/>
    <w:rsid w:val="003A4B92"/>
    <w:rsid w:val="003A7ECD"/>
    <w:rsid w:val="003B20C3"/>
    <w:rsid w:val="003B404B"/>
    <w:rsid w:val="003B5110"/>
    <w:rsid w:val="003B747C"/>
    <w:rsid w:val="003B7E27"/>
    <w:rsid w:val="003C29AB"/>
    <w:rsid w:val="003C65EB"/>
    <w:rsid w:val="003D3C72"/>
    <w:rsid w:val="003E08E5"/>
    <w:rsid w:val="003F51A5"/>
    <w:rsid w:val="003F563C"/>
    <w:rsid w:val="004056FC"/>
    <w:rsid w:val="00412548"/>
    <w:rsid w:val="004133F8"/>
    <w:rsid w:val="00414435"/>
    <w:rsid w:val="004146A3"/>
    <w:rsid w:val="00417D71"/>
    <w:rsid w:val="00423446"/>
    <w:rsid w:val="00423CFE"/>
    <w:rsid w:val="00425DFA"/>
    <w:rsid w:val="00427967"/>
    <w:rsid w:val="0043025A"/>
    <w:rsid w:val="004332C0"/>
    <w:rsid w:val="00435FA4"/>
    <w:rsid w:val="00436C7B"/>
    <w:rsid w:val="0044017A"/>
    <w:rsid w:val="004439FE"/>
    <w:rsid w:val="004478D8"/>
    <w:rsid w:val="00463B93"/>
    <w:rsid w:val="004720ED"/>
    <w:rsid w:val="00472296"/>
    <w:rsid w:val="00472501"/>
    <w:rsid w:val="00472759"/>
    <w:rsid w:val="00473107"/>
    <w:rsid w:val="004852E2"/>
    <w:rsid w:val="004900AB"/>
    <w:rsid w:val="004910A7"/>
    <w:rsid w:val="004937D1"/>
    <w:rsid w:val="00493B69"/>
    <w:rsid w:val="00496C05"/>
    <w:rsid w:val="004A00E9"/>
    <w:rsid w:val="004A47AB"/>
    <w:rsid w:val="004B1942"/>
    <w:rsid w:val="004B7B98"/>
    <w:rsid w:val="004D4E18"/>
    <w:rsid w:val="004E0C39"/>
    <w:rsid w:val="004E18D2"/>
    <w:rsid w:val="004E1C44"/>
    <w:rsid w:val="004E3D05"/>
    <w:rsid w:val="004E49D8"/>
    <w:rsid w:val="004E4B52"/>
    <w:rsid w:val="004E7720"/>
    <w:rsid w:val="004F0BB9"/>
    <w:rsid w:val="00506098"/>
    <w:rsid w:val="00511A75"/>
    <w:rsid w:val="005223F7"/>
    <w:rsid w:val="00523B49"/>
    <w:rsid w:val="0052414A"/>
    <w:rsid w:val="0052797D"/>
    <w:rsid w:val="00543B52"/>
    <w:rsid w:val="00543B58"/>
    <w:rsid w:val="00550573"/>
    <w:rsid w:val="0055059A"/>
    <w:rsid w:val="00550B6E"/>
    <w:rsid w:val="005521D6"/>
    <w:rsid w:val="00552259"/>
    <w:rsid w:val="00553FE6"/>
    <w:rsid w:val="005542CA"/>
    <w:rsid w:val="0055770A"/>
    <w:rsid w:val="00570B9E"/>
    <w:rsid w:val="00572B5D"/>
    <w:rsid w:val="00572DF9"/>
    <w:rsid w:val="0058226A"/>
    <w:rsid w:val="00595F78"/>
    <w:rsid w:val="005972FB"/>
    <w:rsid w:val="005A3E13"/>
    <w:rsid w:val="005A4D85"/>
    <w:rsid w:val="005A56EF"/>
    <w:rsid w:val="005B363D"/>
    <w:rsid w:val="005B5E3A"/>
    <w:rsid w:val="005C4058"/>
    <w:rsid w:val="005D2010"/>
    <w:rsid w:val="005E2DFB"/>
    <w:rsid w:val="005E41B1"/>
    <w:rsid w:val="005E4955"/>
    <w:rsid w:val="005E52B1"/>
    <w:rsid w:val="005E61A8"/>
    <w:rsid w:val="005E67E7"/>
    <w:rsid w:val="005F2ED0"/>
    <w:rsid w:val="005F3280"/>
    <w:rsid w:val="005F386D"/>
    <w:rsid w:val="005F58CF"/>
    <w:rsid w:val="005F6B59"/>
    <w:rsid w:val="0060187E"/>
    <w:rsid w:val="00602260"/>
    <w:rsid w:val="006041AE"/>
    <w:rsid w:val="006115E8"/>
    <w:rsid w:val="006122F8"/>
    <w:rsid w:val="00615402"/>
    <w:rsid w:val="00616FDC"/>
    <w:rsid w:val="00631156"/>
    <w:rsid w:val="00636BB1"/>
    <w:rsid w:val="00643064"/>
    <w:rsid w:val="0064338B"/>
    <w:rsid w:val="00643F9B"/>
    <w:rsid w:val="00646FCA"/>
    <w:rsid w:val="00651657"/>
    <w:rsid w:val="00653617"/>
    <w:rsid w:val="00654650"/>
    <w:rsid w:val="006602DF"/>
    <w:rsid w:val="006618B9"/>
    <w:rsid w:val="00665A65"/>
    <w:rsid w:val="00665FD9"/>
    <w:rsid w:val="00673739"/>
    <w:rsid w:val="00677362"/>
    <w:rsid w:val="006921C0"/>
    <w:rsid w:val="006941F1"/>
    <w:rsid w:val="00695480"/>
    <w:rsid w:val="006A213D"/>
    <w:rsid w:val="006A2A3D"/>
    <w:rsid w:val="006A4BBC"/>
    <w:rsid w:val="006B353A"/>
    <w:rsid w:val="006D02BD"/>
    <w:rsid w:val="006D0839"/>
    <w:rsid w:val="006D3716"/>
    <w:rsid w:val="006D4522"/>
    <w:rsid w:val="006D4FA6"/>
    <w:rsid w:val="006E6EBD"/>
    <w:rsid w:val="006E6F71"/>
    <w:rsid w:val="006F4D6E"/>
    <w:rsid w:val="006F76FE"/>
    <w:rsid w:val="0070020D"/>
    <w:rsid w:val="00706D1C"/>
    <w:rsid w:val="00715FEC"/>
    <w:rsid w:val="007170C2"/>
    <w:rsid w:val="00720F18"/>
    <w:rsid w:val="007229ED"/>
    <w:rsid w:val="00726953"/>
    <w:rsid w:val="00735A10"/>
    <w:rsid w:val="00740562"/>
    <w:rsid w:val="00744115"/>
    <w:rsid w:val="00744D6E"/>
    <w:rsid w:val="00745305"/>
    <w:rsid w:val="00751DDB"/>
    <w:rsid w:val="00756A1A"/>
    <w:rsid w:val="007614AA"/>
    <w:rsid w:val="00762613"/>
    <w:rsid w:val="0076320B"/>
    <w:rsid w:val="00766E46"/>
    <w:rsid w:val="00766F95"/>
    <w:rsid w:val="00777668"/>
    <w:rsid w:val="00781C82"/>
    <w:rsid w:val="0079546A"/>
    <w:rsid w:val="007A35F6"/>
    <w:rsid w:val="007A363A"/>
    <w:rsid w:val="007A4BA6"/>
    <w:rsid w:val="007A4E8F"/>
    <w:rsid w:val="007A576D"/>
    <w:rsid w:val="007B09B0"/>
    <w:rsid w:val="007B3105"/>
    <w:rsid w:val="007B4076"/>
    <w:rsid w:val="007B40F8"/>
    <w:rsid w:val="007C0741"/>
    <w:rsid w:val="007C53C4"/>
    <w:rsid w:val="007C6221"/>
    <w:rsid w:val="007E5F31"/>
    <w:rsid w:val="007F0D49"/>
    <w:rsid w:val="007F1C4C"/>
    <w:rsid w:val="007F64F5"/>
    <w:rsid w:val="00810D52"/>
    <w:rsid w:val="00817A50"/>
    <w:rsid w:val="00820AB3"/>
    <w:rsid w:val="00835985"/>
    <w:rsid w:val="00836ED7"/>
    <w:rsid w:val="00850B3C"/>
    <w:rsid w:val="008569F7"/>
    <w:rsid w:val="00883546"/>
    <w:rsid w:val="00892029"/>
    <w:rsid w:val="008A2D81"/>
    <w:rsid w:val="008B34B5"/>
    <w:rsid w:val="008B3BB0"/>
    <w:rsid w:val="008B5BF4"/>
    <w:rsid w:val="008C69A4"/>
    <w:rsid w:val="008C6D19"/>
    <w:rsid w:val="008D2D39"/>
    <w:rsid w:val="008D487A"/>
    <w:rsid w:val="008D6D10"/>
    <w:rsid w:val="008E083A"/>
    <w:rsid w:val="008E3241"/>
    <w:rsid w:val="008F2DD5"/>
    <w:rsid w:val="008F6635"/>
    <w:rsid w:val="009025E6"/>
    <w:rsid w:val="00906B68"/>
    <w:rsid w:val="00910A02"/>
    <w:rsid w:val="0091444D"/>
    <w:rsid w:val="00914964"/>
    <w:rsid w:val="009204D3"/>
    <w:rsid w:val="009211D3"/>
    <w:rsid w:val="0092242D"/>
    <w:rsid w:val="0092306B"/>
    <w:rsid w:val="00923FD2"/>
    <w:rsid w:val="0092630B"/>
    <w:rsid w:val="009302DF"/>
    <w:rsid w:val="00930DEA"/>
    <w:rsid w:val="00934CBF"/>
    <w:rsid w:val="009428CA"/>
    <w:rsid w:val="00942957"/>
    <w:rsid w:val="009439C8"/>
    <w:rsid w:val="00944188"/>
    <w:rsid w:val="009443AC"/>
    <w:rsid w:val="00957FE5"/>
    <w:rsid w:val="00967F4A"/>
    <w:rsid w:val="00973193"/>
    <w:rsid w:val="00973460"/>
    <w:rsid w:val="00976F84"/>
    <w:rsid w:val="00977D22"/>
    <w:rsid w:val="00993A47"/>
    <w:rsid w:val="009A49B4"/>
    <w:rsid w:val="009A5F3A"/>
    <w:rsid w:val="009A6472"/>
    <w:rsid w:val="009B3424"/>
    <w:rsid w:val="009B5968"/>
    <w:rsid w:val="009C37DF"/>
    <w:rsid w:val="009C520F"/>
    <w:rsid w:val="009D0E4F"/>
    <w:rsid w:val="009D5178"/>
    <w:rsid w:val="009E032A"/>
    <w:rsid w:val="009E65E0"/>
    <w:rsid w:val="009E7CFD"/>
    <w:rsid w:val="009F19DD"/>
    <w:rsid w:val="009F3DB5"/>
    <w:rsid w:val="00A06F10"/>
    <w:rsid w:val="00A1108B"/>
    <w:rsid w:val="00A17DCB"/>
    <w:rsid w:val="00A2315B"/>
    <w:rsid w:val="00A320DF"/>
    <w:rsid w:val="00A3353D"/>
    <w:rsid w:val="00A377FC"/>
    <w:rsid w:val="00A4043D"/>
    <w:rsid w:val="00A44811"/>
    <w:rsid w:val="00A46583"/>
    <w:rsid w:val="00A51028"/>
    <w:rsid w:val="00A515CC"/>
    <w:rsid w:val="00A53CA2"/>
    <w:rsid w:val="00A54E5F"/>
    <w:rsid w:val="00A657B1"/>
    <w:rsid w:val="00A65925"/>
    <w:rsid w:val="00A65E2F"/>
    <w:rsid w:val="00A674EC"/>
    <w:rsid w:val="00A677A3"/>
    <w:rsid w:val="00A73936"/>
    <w:rsid w:val="00A76D61"/>
    <w:rsid w:val="00A866F1"/>
    <w:rsid w:val="00AA7775"/>
    <w:rsid w:val="00AB3DAC"/>
    <w:rsid w:val="00AC1DA7"/>
    <w:rsid w:val="00AC3BC8"/>
    <w:rsid w:val="00AC600E"/>
    <w:rsid w:val="00AD0488"/>
    <w:rsid w:val="00AD776E"/>
    <w:rsid w:val="00AE30D1"/>
    <w:rsid w:val="00AE5740"/>
    <w:rsid w:val="00AE70F0"/>
    <w:rsid w:val="00AE73E0"/>
    <w:rsid w:val="00AF4C94"/>
    <w:rsid w:val="00AF78A6"/>
    <w:rsid w:val="00B00BC1"/>
    <w:rsid w:val="00B019A6"/>
    <w:rsid w:val="00B059A3"/>
    <w:rsid w:val="00B101B7"/>
    <w:rsid w:val="00B142AC"/>
    <w:rsid w:val="00B228F0"/>
    <w:rsid w:val="00B25082"/>
    <w:rsid w:val="00B26157"/>
    <w:rsid w:val="00B32AE2"/>
    <w:rsid w:val="00B360E6"/>
    <w:rsid w:val="00B3720E"/>
    <w:rsid w:val="00B3768E"/>
    <w:rsid w:val="00B40B78"/>
    <w:rsid w:val="00B44B85"/>
    <w:rsid w:val="00B46450"/>
    <w:rsid w:val="00B5459D"/>
    <w:rsid w:val="00B563CF"/>
    <w:rsid w:val="00B57C13"/>
    <w:rsid w:val="00B62843"/>
    <w:rsid w:val="00B6581F"/>
    <w:rsid w:val="00B667F1"/>
    <w:rsid w:val="00B674F2"/>
    <w:rsid w:val="00B715BD"/>
    <w:rsid w:val="00B8024E"/>
    <w:rsid w:val="00B81B96"/>
    <w:rsid w:val="00B84ED9"/>
    <w:rsid w:val="00B877D4"/>
    <w:rsid w:val="00B91C57"/>
    <w:rsid w:val="00B933A9"/>
    <w:rsid w:val="00B97F82"/>
    <w:rsid w:val="00BA1689"/>
    <w:rsid w:val="00BA702C"/>
    <w:rsid w:val="00BB3E1A"/>
    <w:rsid w:val="00BC09C8"/>
    <w:rsid w:val="00BC429F"/>
    <w:rsid w:val="00BC5C02"/>
    <w:rsid w:val="00BC74FC"/>
    <w:rsid w:val="00BC76E0"/>
    <w:rsid w:val="00BD570D"/>
    <w:rsid w:val="00BE6C5E"/>
    <w:rsid w:val="00BE72AF"/>
    <w:rsid w:val="00BF006E"/>
    <w:rsid w:val="00BF2F70"/>
    <w:rsid w:val="00BF5C20"/>
    <w:rsid w:val="00C009FB"/>
    <w:rsid w:val="00C0157D"/>
    <w:rsid w:val="00C03424"/>
    <w:rsid w:val="00C0450A"/>
    <w:rsid w:val="00C06A90"/>
    <w:rsid w:val="00C073F5"/>
    <w:rsid w:val="00C314CD"/>
    <w:rsid w:val="00C3384E"/>
    <w:rsid w:val="00C3475C"/>
    <w:rsid w:val="00C374A3"/>
    <w:rsid w:val="00C4237D"/>
    <w:rsid w:val="00C439FD"/>
    <w:rsid w:val="00C43F35"/>
    <w:rsid w:val="00C515DC"/>
    <w:rsid w:val="00C5285E"/>
    <w:rsid w:val="00C53904"/>
    <w:rsid w:val="00C5635B"/>
    <w:rsid w:val="00C67DED"/>
    <w:rsid w:val="00C7153A"/>
    <w:rsid w:val="00C733DD"/>
    <w:rsid w:val="00C77030"/>
    <w:rsid w:val="00C77468"/>
    <w:rsid w:val="00CA57C2"/>
    <w:rsid w:val="00CB2546"/>
    <w:rsid w:val="00CB61DA"/>
    <w:rsid w:val="00CC482C"/>
    <w:rsid w:val="00CD20AD"/>
    <w:rsid w:val="00CD7A53"/>
    <w:rsid w:val="00CE2C8F"/>
    <w:rsid w:val="00CE3D79"/>
    <w:rsid w:val="00CE4D0F"/>
    <w:rsid w:val="00CE6FAD"/>
    <w:rsid w:val="00CE71AB"/>
    <w:rsid w:val="00CF3197"/>
    <w:rsid w:val="00CF3828"/>
    <w:rsid w:val="00D03F2E"/>
    <w:rsid w:val="00D05909"/>
    <w:rsid w:val="00D113D5"/>
    <w:rsid w:val="00D16349"/>
    <w:rsid w:val="00D16931"/>
    <w:rsid w:val="00D21D11"/>
    <w:rsid w:val="00D25EA2"/>
    <w:rsid w:val="00D40A8C"/>
    <w:rsid w:val="00D40D92"/>
    <w:rsid w:val="00D413EC"/>
    <w:rsid w:val="00D46C3B"/>
    <w:rsid w:val="00D47923"/>
    <w:rsid w:val="00D512F9"/>
    <w:rsid w:val="00D54F6E"/>
    <w:rsid w:val="00D55522"/>
    <w:rsid w:val="00D62984"/>
    <w:rsid w:val="00D66337"/>
    <w:rsid w:val="00D7032A"/>
    <w:rsid w:val="00D70332"/>
    <w:rsid w:val="00D708C8"/>
    <w:rsid w:val="00D70C6F"/>
    <w:rsid w:val="00D710C3"/>
    <w:rsid w:val="00D73E87"/>
    <w:rsid w:val="00D74317"/>
    <w:rsid w:val="00D91749"/>
    <w:rsid w:val="00D94B1D"/>
    <w:rsid w:val="00DA35BB"/>
    <w:rsid w:val="00DA4EB9"/>
    <w:rsid w:val="00DA54EA"/>
    <w:rsid w:val="00DA5B4F"/>
    <w:rsid w:val="00DC336D"/>
    <w:rsid w:val="00DD1503"/>
    <w:rsid w:val="00DD319B"/>
    <w:rsid w:val="00DD4047"/>
    <w:rsid w:val="00DE0DD3"/>
    <w:rsid w:val="00DE286D"/>
    <w:rsid w:val="00DF19E4"/>
    <w:rsid w:val="00DF7C16"/>
    <w:rsid w:val="00E02DF3"/>
    <w:rsid w:val="00E04550"/>
    <w:rsid w:val="00E06B72"/>
    <w:rsid w:val="00E07B93"/>
    <w:rsid w:val="00E166F3"/>
    <w:rsid w:val="00E2185E"/>
    <w:rsid w:val="00E2241A"/>
    <w:rsid w:val="00E23D19"/>
    <w:rsid w:val="00E26EA1"/>
    <w:rsid w:val="00E273B7"/>
    <w:rsid w:val="00E300DB"/>
    <w:rsid w:val="00E35B8D"/>
    <w:rsid w:val="00E37153"/>
    <w:rsid w:val="00E44FF5"/>
    <w:rsid w:val="00E525C5"/>
    <w:rsid w:val="00E538E2"/>
    <w:rsid w:val="00E54CCE"/>
    <w:rsid w:val="00E54E0E"/>
    <w:rsid w:val="00E56663"/>
    <w:rsid w:val="00E63BDE"/>
    <w:rsid w:val="00E65FD5"/>
    <w:rsid w:val="00E67273"/>
    <w:rsid w:val="00E76F24"/>
    <w:rsid w:val="00E873FE"/>
    <w:rsid w:val="00E90EB5"/>
    <w:rsid w:val="00E91E02"/>
    <w:rsid w:val="00E93C58"/>
    <w:rsid w:val="00E97E3B"/>
    <w:rsid w:val="00EA6739"/>
    <w:rsid w:val="00EB050F"/>
    <w:rsid w:val="00EC7785"/>
    <w:rsid w:val="00EE214B"/>
    <w:rsid w:val="00EF3029"/>
    <w:rsid w:val="00F06C9A"/>
    <w:rsid w:val="00F10804"/>
    <w:rsid w:val="00F10FF1"/>
    <w:rsid w:val="00F2032B"/>
    <w:rsid w:val="00F226FE"/>
    <w:rsid w:val="00F22DC8"/>
    <w:rsid w:val="00F333B1"/>
    <w:rsid w:val="00F35EA1"/>
    <w:rsid w:val="00F43C7A"/>
    <w:rsid w:val="00F46CEF"/>
    <w:rsid w:val="00F503FC"/>
    <w:rsid w:val="00F5397C"/>
    <w:rsid w:val="00F57C60"/>
    <w:rsid w:val="00F6448F"/>
    <w:rsid w:val="00F70522"/>
    <w:rsid w:val="00F747C6"/>
    <w:rsid w:val="00F747EF"/>
    <w:rsid w:val="00F74D4B"/>
    <w:rsid w:val="00F8037D"/>
    <w:rsid w:val="00F86896"/>
    <w:rsid w:val="00F873C8"/>
    <w:rsid w:val="00F91FD0"/>
    <w:rsid w:val="00F935A5"/>
    <w:rsid w:val="00FA3124"/>
    <w:rsid w:val="00FB01A4"/>
    <w:rsid w:val="00FC1467"/>
    <w:rsid w:val="00FC3746"/>
    <w:rsid w:val="00FC4304"/>
    <w:rsid w:val="00FC673D"/>
    <w:rsid w:val="00FC712C"/>
    <w:rsid w:val="00FC7D6E"/>
    <w:rsid w:val="00FD52B5"/>
    <w:rsid w:val="00FF0B9A"/>
    <w:rsid w:val="00FF324D"/>
    <w:rsid w:val="00FF4A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9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450"/>
  </w:style>
  <w:style w:type="paragraph" w:styleId="1">
    <w:name w:val="heading 1"/>
    <w:basedOn w:val="a"/>
    <w:next w:val="a"/>
    <w:rsid w:val="00B46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6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6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645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464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464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64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6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46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B46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E70F0"/>
    <w:pPr>
      <w:ind w:left="720"/>
      <w:contextualSpacing/>
    </w:pPr>
  </w:style>
  <w:style w:type="table" w:styleId="a7">
    <w:name w:val="Table Grid"/>
    <w:basedOn w:val="a1"/>
    <w:uiPriority w:val="59"/>
    <w:rsid w:val="0049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5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8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C3384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3384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3384E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C3384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3384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384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E73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E73E0"/>
  </w:style>
  <w:style w:type="paragraph" w:styleId="af2">
    <w:name w:val="footer"/>
    <w:basedOn w:val="a"/>
    <w:link w:val="af3"/>
    <w:uiPriority w:val="99"/>
    <w:unhideWhenUsed/>
    <w:rsid w:val="00AE73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73E0"/>
  </w:style>
  <w:style w:type="character" w:styleId="af4">
    <w:name w:val="Intense Emphasis"/>
    <w:basedOn w:val="a0"/>
    <w:uiPriority w:val="21"/>
    <w:qFormat/>
    <w:rsid w:val="00AE73E0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AE73E0"/>
    <w:rPr>
      <w:b/>
      <w:bCs/>
      <w:smallCaps/>
      <w:spacing w:val="5"/>
    </w:rPr>
  </w:style>
  <w:style w:type="paragraph" w:styleId="af6">
    <w:name w:val="No Spacing"/>
    <w:link w:val="af7"/>
    <w:uiPriority w:val="1"/>
    <w:qFormat/>
    <w:rsid w:val="006F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6F4D6E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F2032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2032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2032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2032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2032B"/>
    <w:rPr>
      <w:b/>
      <w:bCs/>
      <w:sz w:val="20"/>
      <w:szCs w:val="20"/>
    </w:rPr>
  </w:style>
  <w:style w:type="character" w:customStyle="1" w:styleId="b">
    <w:name w:val="b"/>
    <w:basedOn w:val="a0"/>
    <w:rsid w:val="004720ED"/>
  </w:style>
  <w:style w:type="character" w:customStyle="1" w:styleId="blk">
    <w:name w:val="blk"/>
    <w:basedOn w:val="a0"/>
    <w:rsid w:val="00E23D19"/>
  </w:style>
  <w:style w:type="character" w:customStyle="1" w:styleId="afd">
    <w:name w:val="Основной текст_"/>
    <w:basedOn w:val="a0"/>
    <w:link w:val="30"/>
    <w:rsid w:val="00F35EA1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d"/>
    <w:rsid w:val="00F35E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380"/>
      <w:jc w:val="both"/>
    </w:pPr>
    <w:rPr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F06C9A"/>
  </w:style>
  <w:style w:type="paragraph" w:styleId="afe">
    <w:name w:val="Revision"/>
    <w:hidden/>
    <w:uiPriority w:val="99"/>
    <w:semiHidden/>
    <w:rsid w:val="00435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4852E2"/>
  </w:style>
  <w:style w:type="character" w:styleId="aff">
    <w:name w:val="Hyperlink"/>
    <w:uiPriority w:val="99"/>
    <w:unhideWhenUsed/>
    <w:rsid w:val="00BF5C20"/>
    <w:rPr>
      <w:color w:val="0000FF"/>
      <w:u w:val="single"/>
    </w:rPr>
  </w:style>
  <w:style w:type="paragraph" w:customStyle="1" w:styleId="ConsTitle">
    <w:name w:val="ConsTitle"/>
    <w:rsid w:val="00216D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46450"/>
  </w:style>
  <w:style w:type="paragraph" w:styleId="1">
    <w:name w:val="heading 1"/>
    <w:basedOn w:val="a"/>
    <w:next w:val="a"/>
    <w:rsid w:val="00B464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B464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B464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B46450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rsid w:val="00B4645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B464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B464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B46450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B464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0">
    <w:name w:val="2"/>
    <w:basedOn w:val="TableNormal"/>
    <w:rsid w:val="00B46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"/>
    <w:basedOn w:val="TableNormal"/>
    <w:rsid w:val="00B4645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aliases w:val="Абзац списка для документа"/>
    <w:basedOn w:val="a"/>
    <w:link w:val="a6"/>
    <w:uiPriority w:val="34"/>
    <w:qFormat/>
    <w:rsid w:val="00AE70F0"/>
    <w:pPr>
      <w:ind w:left="720"/>
      <w:contextualSpacing/>
    </w:pPr>
  </w:style>
  <w:style w:type="table" w:styleId="a7">
    <w:name w:val="Table Grid"/>
    <w:basedOn w:val="a1"/>
    <w:uiPriority w:val="59"/>
    <w:rsid w:val="004937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5598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5598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C3384E"/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C3384E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C3384E"/>
    <w:rPr>
      <w:vertAlign w:val="superscript"/>
    </w:rPr>
  </w:style>
  <w:style w:type="paragraph" w:styleId="ad">
    <w:name w:val="footnote text"/>
    <w:basedOn w:val="a"/>
    <w:link w:val="ae"/>
    <w:uiPriority w:val="99"/>
    <w:unhideWhenUsed/>
    <w:rsid w:val="00C3384E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rsid w:val="00C3384E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C3384E"/>
    <w:rPr>
      <w:vertAlign w:val="superscript"/>
    </w:rPr>
  </w:style>
  <w:style w:type="paragraph" w:styleId="af0">
    <w:name w:val="header"/>
    <w:basedOn w:val="a"/>
    <w:link w:val="af1"/>
    <w:uiPriority w:val="99"/>
    <w:unhideWhenUsed/>
    <w:rsid w:val="00AE73E0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AE73E0"/>
  </w:style>
  <w:style w:type="paragraph" w:styleId="af2">
    <w:name w:val="footer"/>
    <w:basedOn w:val="a"/>
    <w:link w:val="af3"/>
    <w:uiPriority w:val="99"/>
    <w:unhideWhenUsed/>
    <w:rsid w:val="00AE73E0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AE73E0"/>
  </w:style>
  <w:style w:type="character" w:styleId="af4">
    <w:name w:val="Intense Emphasis"/>
    <w:basedOn w:val="a0"/>
    <w:uiPriority w:val="21"/>
    <w:qFormat/>
    <w:rsid w:val="00AE73E0"/>
    <w:rPr>
      <w:b/>
      <w:bCs/>
      <w:i/>
      <w:iCs/>
      <w:color w:val="4F81BD" w:themeColor="accent1"/>
    </w:rPr>
  </w:style>
  <w:style w:type="character" w:styleId="af5">
    <w:name w:val="Book Title"/>
    <w:basedOn w:val="a0"/>
    <w:uiPriority w:val="33"/>
    <w:qFormat/>
    <w:rsid w:val="00AE73E0"/>
    <w:rPr>
      <w:b/>
      <w:bCs/>
      <w:smallCaps/>
      <w:spacing w:val="5"/>
    </w:rPr>
  </w:style>
  <w:style w:type="paragraph" w:styleId="af6">
    <w:name w:val="No Spacing"/>
    <w:link w:val="af7"/>
    <w:uiPriority w:val="1"/>
    <w:qFormat/>
    <w:rsid w:val="006F4D6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customStyle="1" w:styleId="af7">
    <w:name w:val="Без интервала Знак"/>
    <w:basedOn w:val="a0"/>
    <w:link w:val="af6"/>
    <w:uiPriority w:val="1"/>
    <w:rsid w:val="006F4D6E"/>
    <w:rPr>
      <w:rFonts w:asciiTheme="minorHAnsi" w:eastAsiaTheme="minorEastAsia" w:hAnsiTheme="minorHAnsi" w:cstheme="minorBidi"/>
      <w:color w:val="auto"/>
      <w:sz w:val="22"/>
      <w:szCs w:val="22"/>
      <w:lang w:eastAsia="en-US"/>
    </w:rPr>
  </w:style>
  <w:style w:type="character" w:styleId="af8">
    <w:name w:val="annotation reference"/>
    <w:basedOn w:val="a0"/>
    <w:uiPriority w:val="99"/>
    <w:semiHidden/>
    <w:unhideWhenUsed/>
    <w:rsid w:val="00F2032B"/>
    <w:rPr>
      <w:sz w:val="16"/>
      <w:szCs w:val="16"/>
    </w:rPr>
  </w:style>
  <w:style w:type="paragraph" w:styleId="af9">
    <w:name w:val="annotation text"/>
    <w:basedOn w:val="a"/>
    <w:link w:val="afa"/>
    <w:uiPriority w:val="99"/>
    <w:semiHidden/>
    <w:unhideWhenUsed/>
    <w:rsid w:val="00F2032B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uiPriority w:val="99"/>
    <w:semiHidden/>
    <w:rsid w:val="00F2032B"/>
    <w:rPr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F2032B"/>
    <w:rPr>
      <w:b/>
      <w:bCs/>
    </w:rPr>
  </w:style>
  <w:style w:type="character" w:customStyle="1" w:styleId="afc">
    <w:name w:val="Тема примечания Знак"/>
    <w:basedOn w:val="afa"/>
    <w:link w:val="afb"/>
    <w:uiPriority w:val="99"/>
    <w:semiHidden/>
    <w:rsid w:val="00F2032B"/>
    <w:rPr>
      <w:b/>
      <w:bCs/>
      <w:sz w:val="20"/>
      <w:szCs w:val="20"/>
    </w:rPr>
  </w:style>
  <w:style w:type="character" w:customStyle="1" w:styleId="b">
    <w:name w:val="b"/>
    <w:basedOn w:val="a0"/>
    <w:rsid w:val="004720ED"/>
  </w:style>
  <w:style w:type="character" w:customStyle="1" w:styleId="blk">
    <w:name w:val="blk"/>
    <w:basedOn w:val="a0"/>
    <w:rsid w:val="00E23D19"/>
  </w:style>
  <w:style w:type="character" w:customStyle="1" w:styleId="afd">
    <w:name w:val="Основной текст_"/>
    <w:basedOn w:val="a0"/>
    <w:link w:val="30"/>
    <w:rsid w:val="00F35EA1"/>
    <w:rPr>
      <w:spacing w:val="3"/>
      <w:sz w:val="23"/>
      <w:szCs w:val="23"/>
      <w:shd w:val="clear" w:color="auto" w:fill="FFFFFF"/>
    </w:rPr>
  </w:style>
  <w:style w:type="paragraph" w:customStyle="1" w:styleId="30">
    <w:name w:val="Основной текст3"/>
    <w:basedOn w:val="a"/>
    <w:link w:val="afd"/>
    <w:rsid w:val="00F35EA1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hd w:val="clear" w:color="auto" w:fill="FFFFFF"/>
      <w:spacing w:line="298" w:lineRule="exact"/>
      <w:ind w:hanging="380"/>
      <w:jc w:val="both"/>
    </w:pPr>
    <w:rPr>
      <w:spacing w:val="3"/>
      <w:sz w:val="23"/>
      <w:szCs w:val="23"/>
    </w:rPr>
  </w:style>
  <w:style w:type="character" w:customStyle="1" w:styleId="apple-converted-space">
    <w:name w:val="apple-converted-space"/>
    <w:basedOn w:val="a0"/>
    <w:rsid w:val="00F06C9A"/>
  </w:style>
  <w:style w:type="paragraph" w:styleId="afe">
    <w:name w:val="Revision"/>
    <w:hidden/>
    <w:uiPriority w:val="99"/>
    <w:semiHidden/>
    <w:rsid w:val="00435F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</w:pPr>
  </w:style>
  <w:style w:type="character" w:customStyle="1" w:styleId="a6">
    <w:name w:val="Абзац списка Знак"/>
    <w:aliases w:val="Абзац списка для документа Знак"/>
    <w:link w:val="a5"/>
    <w:uiPriority w:val="34"/>
    <w:rsid w:val="004852E2"/>
  </w:style>
  <w:style w:type="character" w:styleId="aff">
    <w:name w:val="Hyperlink"/>
    <w:uiPriority w:val="99"/>
    <w:unhideWhenUsed/>
    <w:rsid w:val="00BF5C20"/>
    <w:rPr>
      <w:color w:val="0000FF"/>
      <w:u w:val="single"/>
    </w:rPr>
  </w:style>
  <w:style w:type="paragraph" w:customStyle="1" w:styleId="ConsTitle">
    <w:name w:val="ConsTitle"/>
    <w:rsid w:val="00216D14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adjustRightInd w:val="0"/>
    </w:pPr>
    <w:rPr>
      <w:rFonts w:ascii="Arial" w:hAnsi="Arial" w:cs="Arial"/>
      <w:b/>
      <w:bCs/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25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4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9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1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8067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1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257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8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dongarant.ru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login.consultant.ru/link/?rnd=F1CA1F343302D9912CFA8DECC72ED12D&amp;req=doc&amp;base=LAW&amp;n=354543&amp;dst=2&amp;fld=134&amp;REFFIELD=134&amp;REFDST=100&amp;REFDOC=364371&amp;REFBASE=LAW&amp;stat=refcode%3D10881%3Bdstident%3D2%3Bindex%3D20&amp;date=14.10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03806-9F4D-4115-BA28-A7F711D57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7</Pages>
  <Words>2892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Ростовской области»</vt:lpstr>
    </vt:vector>
  </TitlesOfParts>
  <Company>Reanimator Extreme Edition</Company>
  <LinksUpToDate>false</LinksUpToDate>
  <CharactersWithSpaces>19339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Ростовской области»</dc:title>
  <dc:creator>Людмила</dc:creator>
  <cp:lastModifiedBy>Алена</cp:lastModifiedBy>
  <cp:revision>66</cp:revision>
  <cp:lastPrinted>2021-09-22T08:59:00Z</cp:lastPrinted>
  <dcterms:created xsi:type="dcterms:W3CDTF">2020-10-14T21:45:00Z</dcterms:created>
  <dcterms:modified xsi:type="dcterms:W3CDTF">2021-09-22T09:02:00Z</dcterms:modified>
</cp:coreProperties>
</file>