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ООО Антикризисная управленческая компания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АО «Троицкий комбинат хлебопродуктов»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РАД-255090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05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122149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05.05.2021 г. 13:00:00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ООО Антикризисная управленческая компания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2 -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Лот №2-389169,6  руб. без НДС  Магазин «Каравай», 101,4 кв.м. Челябинская обл., г. Троицк, ул. Климова, д. 27.  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389 169 рублей 60 копеек (Триста восемьдесят девять тысяч сто шестьдесят девять рублей 60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"Новый Мир"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457120, Челябинская обл., Троицкий район, с. Нижняя Санарка, ул. Новая, д. 45А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Бобряшова Мария Николаевна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223169-ИД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28.04.2021 г. в 08:47:53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ПРОИЗВОДСТВЕННАЯ КОМПАНИЯ "ТРОИЦКИЙ ЭЛЕВАТОР"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457100, Челябинская обл, г Троицк, ул Элеваторная, д 2, оф 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Магакян Вазген Меружанович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223221-ИД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28.04.2021 г. в 12:24:39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Саватеев Вячеслав Анатольевич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457100, Челябинская область, г.Троицк, 10-й квартал, д.30, кв.30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Саватеев Вячеслав Анатольевич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223293-ИД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29.04.2021 г. в 08:54:55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Саватеев Вячеслав Анатольевич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457100, Челябинская область, г.Троицк, 10-й квартал, д.30, кв.30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Саватеев Вячеслав Анатольевич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223293-ИД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29.04.2021 г. в 08:54:55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Бабченко Евгений Владимирович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457134, Челябинская обл, Троицкий р-н, село Бобровка, ул Пионерская, д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Кучеров Дмитрий Ильич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223379-ИД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30.04.2021 г. в 09:13:15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КОЛИСТРАТЕНКО МИХАИЛ БОРИСОВИЧ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457103, Челябинская обл, г Троицк, ул им. В.И. Ленина, д 2А, кв 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КОЛИСТРАТЕНКО МИХАИЛ БОРИСОВИЧ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223477-ИД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01.05.2021 г. в 14:21:05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"ООО ""ТСП"""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457100, Челябинская обл, Троицк г, им А.С.Макаренко ул, дом № 59, этаж 2, офис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Басалыко Людмила Александровна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223527-ИД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03.05.2021 г. в 09:01:04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Басалыко Владимир Сергеевич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457100, Челябинская область, г. Троицк, ул. Советская, д.37А, кв.61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Басалыко Владимир Сергеевич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223529-ИД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03.05.2021 г. в 09:21:32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ПРОИЗВОДСТВЕННАЯ КОМПАНИЯ "ТРОИЦКИЙ ЭЛЕВАТОР"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457100, Челябинская обл, г Троицк, ул Элеваторная, д 2, оф 9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2 140 432.80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"Новый Мир"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457120, Челябинская обл., Троицкий район, с. Нижняя Санарка, ул. Новая, д. 45А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2 159 891.28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77 833.92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