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Дмитриев Николай Борисович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Транспортная компания «Призвание»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РАД-262649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16 августа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125562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19.06.2021 г. 09:00:00 - 12.08.2021 г. 21:00:00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Дмитриев Николай Борисович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Право требования к Обществу с ограниченной ответственности «Автотриада» в размере 6 997 297,29 рублей.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