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ИП Дюрягин Сергей Витальевич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Открытое акционерное общество "БОГДАНОВИЧСКАЯ ГЕНЕРИРУЮЩАЯ КОМПАНИЯ"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РАД-258082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07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123463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ИП Дюрягин Сергей Витальевич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№2: Социально значимое имущество в следующем составе: Артезианская скважина III-Э; Вентиляционная система; Водогрейный котел ПТВМ-30м; Водогрейный котел ПТВМ-30м; ВОЛП; Выключатель ВА 55-41; Газоанализатор АГМ-505.2 (О2,СО,NО); Газовая горелка ГГВ-200; Газовая горелка ГГВ-200; ГРЩ-0,4; Дымовая труба; Дымовая труба; Емкость отработанного масла; Емкость чистого масла; Заточный станок; Здание с тремя пристроями; Здание станции 2 подъема; Земельный участок 66:07:0103002:38; Земельный участок; Измерительный комплекс коммерческого учета природного газа; Кабельная линия 10кВ; Клапан газовый; Клапан газовый; Колодец с крестовиной между скважинами; КРУС-СЭЩ-75; Линия ЛЭП-6кВ от ООС "КСМ"; Накопительный резервуар V-1200т; Насос К 150-125-315 КНЗ, с двиг. 180М4 (30/150); Насос отработанного масла; Насос чистого масла (4 м.куб/ч); Насос чистого масла (4 м.куб/ч); Площадка с местами хранения отходов; Преобразователь частотный E-V 81G-220T4/V81P-250T4; Рама выкатная; Система автоматизации и диспетчеризации процесса выработки тепловой энергии котельной; Система АСУ ТП; Система газоснабжения котла ПТВМ зав. № 1301; Система газоснабжения котла ПТВМ зав. № 1541; Система маслоснабжения; Система пожарной сигнализации; Сопутствующее и специализированное оборудование котельной; Счетчик газа СГ-16 МТ-1600-Р-3; ТП-6кв; Трансформатор ТСЗЛ-630/10,5/0,4; Трансформатор ТСЗЛ-630/10,5/0,4; Трассопоисковый комплект SuperC.A. + CPS, с генератором Т1 и сумкой; Трубопровод по котельной; Узел технического газа; Узел технического газа; Шкаф АИИСКУЭ; Шкаф оперативного тока; Шкаф телемеханики; Электроагрегат питания типа TCG 2032; Электроагрегат питания типа TCG 2032; Здание соляного склада, находящееся на территории котельной ОАО "БГК".,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