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547BA6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2164-ОТПП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«Транспортное управление»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«29» марта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«16» января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Ерохин Сергей Анатольевич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«Транспортное управление»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А45-19451/2017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Ерохин Сергей Анатольевич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017B47" w:rsidRDefault="00017B47" w:rsidP="00017B47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017B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017B47">
        <w:rPr>
          <w:sz w:val="28"/>
          <w:szCs w:val="28"/>
          <w:u w:val="single"/>
        </w:rPr>
        <w:t>:</w:t>
      </w:r>
      <w:r w:rsidRPr="00017B47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017B47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 xml:space="preserve">Право приобретения имущества принадлежит участнику, представившему в установленный срок заявку на участие в торгах с предложением о цене, которая не ниже начальной цены продажи для определенного периода торгов, а также внес задаток, при отсутствии предложений других участников. Если несколько участников представили в установленный срок заявки, содержащие различные предложения о цене, но не ниже начальной цены продажи для определенного периода торгов, право приобретения имущества принадлежит участнику, предложившему максимальную цену. Если несколько участников представили в установленный срок заявки, содержащие равные предложения о цене, но не ниже начальной цены продажи для определенного периода торгов, право </w:t>
      </w:r>
      <w:r w:rsidRPr="00060F2A">
        <w:rPr>
          <w:b/>
          <w:i/>
          <w:iCs/>
          <w:sz w:val="27"/>
          <w:szCs w:val="27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и внес задаток.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377CB9" w:rsidRPr="00B03EB3" w:rsidRDefault="00377CB9" w:rsidP="00377CB9">
      <w:pPr>
        <w:jc w:val="both"/>
        <w:rPr>
          <w:b/>
          <w:i/>
          <w:iCs/>
          <w:sz w:val="27"/>
          <w:szCs w:val="27"/>
        </w:rPr>
      </w:pPr>
      <w:r w:rsidRPr="00B03EB3">
        <w:rPr>
          <w:sz w:val="28"/>
          <w:szCs w:val="28"/>
          <w:u w:val="single"/>
        </w:rPr>
        <w:t>Место подведения итогов торгов:</w:t>
      </w:r>
      <w:r w:rsidRPr="00B03EB3">
        <w:rPr>
          <w:i/>
          <w:sz w:val="28"/>
          <w:szCs w:val="28"/>
        </w:rPr>
        <w:t xml:space="preserve"> </w:t>
      </w:r>
      <w:r w:rsidRPr="00B03EB3">
        <w:rPr>
          <w:b/>
          <w:i/>
          <w:iCs/>
          <w:sz w:val="27"/>
          <w:szCs w:val="27"/>
        </w:rPr>
        <w:t>Итоги торгов подводятся до 18-00 30.03.2021 г. на электронной площадке</w:t>
      </w:r>
    </w:p>
    <w:p w:rsidR="00377CB9" w:rsidRPr="00B03EB3" w:rsidRDefault="00377CB9" w:rsidP="00377CB9">
      <w:pPr>
        <w:jc w:val="both"/>
        <w:rPr>
          <w:b/>
          <w:i/>
          <w:iCs/>
          <w:sz w:val="27"/>
          <w:szCs w:val="27"/>
        </w:rPr>
      </w:pPr>
    </w:p>
    <w:p w:rsidR="00377CB9" w:rsidRPr="00B03EB3" w:rsidRDefault="00377CB9" w:rsidP="00377CB9">
      <w:pPr>
        <w:jc w:val="both"/>
        <w:rPr>
          <w:b/>
          <w:i/>
          <w:sz w:val="27"/>
          <w:szCs w:val="27"/>
        </w:rPr>
      </w:pPr>
      <w:r w:rsidRPr="00B03EB3">
        <w:rPr>
          <w:sz w:val="28"/>
          <w:szCs w:val="28"/>
          <w:u w:val="single"/>
        </w:rPr>
        <w:t>Время подведения итогов торгов:</w:t>
      </w:r>
      <w:r w:rsidRPr="00B03EB3">
        <w:rPr>
          <w:i/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1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Право требования (дебиторская задолженность) ООО «Транспортное управление» к ООО «Агропром»  (ИНН 5405959644) в размере  357841,01 руб.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322 056.90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017B47" w:rsidRDefault="00017B47" w:rsidP="00017B47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заявок, организатором торгов принято решение о признании торгов несостоявшимися</w:t>
      </w:r>
      <w:r w:rsidR="00547BA6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377CB9" w:rsidRDefault="005309C9" w:rsidP="005309C9">
      <w:pPr>
        <w:jc w:val="both"/>
        <w:rPr>
          <w:sz w:val="27"/>
          <w:szCs w:val="27"/>
        </w:rPr>
      </w:pPr>
      <w:r w:rsidRPr="00377CB9">
        <w:rPr>
          <w:sz w:val="27"/>
          <w:szCs w:val="27"/>
        </w:rPr>
        <w:t>(</w:t>
      </w:r>
      <w:r w:rsidRPr="00377CB9">
        <w:rPr>
          <w:b/>
          <w:i/>
          <w:sz w:val="27"/>
          <w:szCs w:val="27"/>
        </w:rPr>
        <w:t>Ерохин Сергей Анатольевич</w:t>
      </w:r>
      <w:r w:rsidRPr="00377CB9">
        <w:rPr>
          <w:i/>
          <w:sz w:val="27"/>
          <w:szCs w:val="27"/>
        </w:rPr>
        <w:t>)</w:t>
      </w:r>
      <w:r w:rsidRPr="00377CB9">
        <w:rPr>
          <w:sz w:val="27"/>
          <w:szCs w:val="27"/>
        </w:rPr>
        <w:t xml:space="preserve"> </w:t>
      </w:r>
    </w:p>
    <w:p w:rsidR="005309C9" w:rsidRPr="00377CB9" w:rsidRDefault="005309C9" w:rsidP="005309C9">
      <w:pPr>
        <w:jc w:val="both"/>
        <w:rPr>
          <w:sz w:val="27"/>
          <w:szCs w:val="27"/>
        </w:rPr>
      </w:pPr>
    </w:p>
    <w:p w:rsidR="005309C9" w:rsidRPr="00377CB9" w:rsidRDefault="005309C9" w:rsidP="005309C9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Ерохин Сергей Анатольевич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E0" w:rsidRDefault="008A42E0">
      <w:r>
        <w:separator/>
      </w:r>
    </w:p>
  </w:endnote>
  <w:endnote w:type="continuationSeparator" w:id="0">
    <w:p w:rsidR="008A42E0" w:rsidRDefault="008A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E0" w:rsidRDefault="008A42E0">
      <w:r>
        <w:separator/>
      </w:r>
    </w:p>
  </w:footnote>
  <w:footnote w:type="continuationSeparator" w:id="0">
    <w:p w:rsidR="008A42E0" w:rsidRDefault="008A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17B47"/>
    <w:rsid w:val="00055077"/>
    <w:rsid w:val="000E7C3F"/>
    <w:rsid w:val="000F1D71"/>
    <w:rsid w:val="001060A4"/>
    <w:rsid w:val="00122A21"/>
    <w:rsid w:val="0019033F"/>
    <w:rsid w:val="002F75E6"/>
    <w:rsid w:val="00343BB8"/>
    <w:rsid w:val="00377CB9"/>
    <w:rsid w:val="003D5AEE"/>
    <w:rsid w:val="004816A2"/>
    <w:rsid w:val="005309C9"/>
    <w:rsid w:val="00547BA6"/>
    <w:rsid w:val="005B2661"/>
    <w:rsid w:val="006C1DB2"/>
    <w:rsid w:val="006D7BE2"/>
    <w:rsid w:val="007432FA"/>
    <w:rsid w:val="00784892"/>
    <w:rsid w:val="0078612D"/>
    <w:rsid w:val="008A42E0"/>
    <w:rsid w:val="008B2992"/>
    <w:rsid w:val="008E335E"/>
    <w:rsid w:val="008F6628"/>
    <w:rsid w:val="009150F5"/>
    <w:rsid w:val="0096434E"/>
    <w:rsid w:val="009B4FF9"/>
    <w:rsid w:val="00A266BD"/>
    <w:rsid w:val="00A4172C"/>
    <w:rsid w:val="00B26A7A"/>
    <w:rsid w:val="00B44101"/>
    <w:rsid w:val="00BF1DA5"/>
    <w:rsid w:val="00C85BF1"/>
    <w:rsid w:val="00E13FEE"/>
    <w:rsid w:val="00E41724"/>
    <w:rsid w:val="00F04521"/>
    <w:rsid w:val="00F563BB"/>
    <w:rsid w:val="00FB619C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u9</cp:lastModifiedBy>
  <cp:revision>2</cp:revision>
  <cp:lastPrinted>2010-07-13T09:45:00Z</cp:lastPrinted>
  <dcterms:created xsi:type="dcterms:W3CDTF">2021-03-29T09:06:00Z</dcterms:created>
  <dcterms:modified xsi:type="dcterms:W3CDTF">2021-03-29T09:06:00Z</dcterms:modified>
</cp:coreProperties>
</file>