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Григорьев Александр Николаевич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Открытое акционерное общество «Курба»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РАД-260350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10 июля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124601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26.05.2021 г. 09:00:00 - 10.07.2021 г. 09:00:00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Григорьев Александр Николаевич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5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Земельный участок: назначение  для сельскохозяйственного производства, вид разрешенного использования  земли сельскохозяйственного назначения, общая площадь 197271 (200 193) кв. м, расположенный по адресу: обл. Ярославская, р-н Ярославский, с/с Курбский, кадастровый номер: 76:17:168702:40, вид права собственность, свидетельство серия 76АА №235703, инв.№18781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