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Сафонова Виктория Михайловна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Касаткина Юлия  Юрьевна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РАД-264820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09 августа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126780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19.07.2021 г. 09:00:00 - 08.08.2021 г. 17:00:00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Сафонова Виктория Михайловна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1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земельный участок, общей площадью 2480,00 кв.м., кадастровый номер 35:25:0506032:4, расположенный по адресу: Вологодская область, Вологодский район, Прилукский с/с, д. Борилово-2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