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РАД-254807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Земельный участок, кад. № 35:11:0202009:277, 1 282 м; Здание Столовой,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