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14701C" w:rsidRPr="00C2242A" w:rsidRDefault="0014701C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275205" w:rsidRDefault="00F342E0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14701C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14701C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275205" w:rsidRDefault="00275205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172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РАД-202667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ао339, 2009г.в., VIN Х1М3205С090001209;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E0" w:rsidRDefault="00F342E0" w:rsidP="000E0D26">
      <w:r>
        <w:separator/>
      </w:r>
    </w:p>
  </w:endnote>
  <w:endnote w:type="continuationSeparator" w:id="0">
    <w:p w:rsidR="00F342E0" w:rsidRDefault="00F342E0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14701C" w:rsidRPr="0014701C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14701C" w:rsidRPr="0014701C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14701C" w:rsidRPr="0014701C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14701C" w:rsidRPr="0014701C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14701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14701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E0" w:rsidRDefault="00F342E0" w:rsidP="000E0D26">
      <w:r>
        <w:separator/>
      </w:r>
    </w:p>
  </w:footnote>
  <w:footnote w:type="continuationSeparator" w:id="0">
    <w:p w:rsidR="00F342E0" w:rsidRDefault="00F342E0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01C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75205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342E0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30EF188-05FA-4EA5-870A-D60BDD3704E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2020-03-27T06:49:00Z</dcterms:modified>
</cp:coreProperties>
</file>