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Скрынник Алексей Геннадьевич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АО «Дмитровский автодор»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30 апреля 2020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105185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Скрынник Алексей Геннадьевич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4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РАД-212992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МАN TGS 19.440 4х2 BLS-WW грз, 2013 г.в., гос номер К 083 РЕ750, идентификационный номер (VIN): нет данных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