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81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Муштаков Олег Константинович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Мирка  Елена  Павловна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РАД-262756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04 августа 2021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125783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03.08.2021 г. 12:00:00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Муштаков Олег Константинович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2 -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здание офиса-склада, назначение: нежилое, 2-этажное, общая площадь 514,7 кв.м., адрес объекта: Мурманская область, г. Мурманск, ул. Баумана, д. 45 А, кадастровый (или условный) №: 51:20:0001304:34; - право аренды земельного участка, площадь 6903 кв.м., кадастровый номер 51:20:0001304:24, адрес объекта: Мурманская обл., г. Мурманск, ул. Баумана, на земельном участке расположено здание № 45А. Аренда - срок по 30.06.2042 г.,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