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РАД-260360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19 -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Автобус (6 мест)ГАЗ 22171, С618ММ, г.в.2001, цвет синий, инв.№18641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61 740.00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55 566.00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49 392.00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43 218.00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37 044.00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30 870.00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24 696.00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18 522.00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230297-ИД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01.07.2021 - 05.07.2021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18:10:32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30 929.00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171660, Тверская обл, г Красный Холм, ул Мясникова, д 39, кв 22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230297-ИД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01.07.2021 - 05.07.2021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18:10:32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30 929.00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Монахов Александр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690601753130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171660, Тверская обл, г Красный Холм, ул Мясникова, д 39, кв 22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Монахов Александр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01.07.2021 г. в 18:10:32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30 929.00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