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Коротков Кирилл Геннадьевич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«ДАНКО»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РАД-259327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23 июня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124014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23.06.2021 г. 10:00:00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Коротков Кирилл Геннадьевич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Жилое помещение, общей площадью 30, 7 кв. м, кадастровый № 63:01:0407004:1053, расположенное по адресу: Самарская обл., г. Самара, Куйбышевский район, п. Кряж, ул. Центральная, д. 10, кв.17. 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Казанина Анна Александровна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г. Самара, пр. Карла Маркса, д. 4Б, кв. 500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Казанин Игорь Николаевич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63АА6148547, срок действия: 22.07.2020-22.07.2040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765 900.00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